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E09906" w14:textId="77777777" w:rsidR="00434559" w:rsidRDefault="008F6152">
      <w:pPr>
        <w:ind w:right="-1"/>
      </w:pPr>
      <w:r>
        <w:rPr>
          <w:rFonts w:cs="Calibri"/>
          <w:b/>
          <w:sz w:val="22"/>
          <w:szCs w:val="22"/>
        </w:rPr>
        <w:t xml:space="preserve">Obs.: </w:t>
      </w:r>
    </w:p>
    <w:p w14:paraId="485B613B" w14:textId="77777777" w:rsidR="00434559" w:rsidRDefault="008F6152">
      <w:pPr>
        <w:ind w:right="-1"/>
        <w:jc w:val="both"/>
      </w:pPr>
      <w:r>
        <w:rPr>
          <w:rFonts w:cs="Calibri"/>
          <w:b/>
          <w:sz w:val="22"/>
          <w:szCs w:val="22"/>
        </w:rPr>
        <w:t xml:space="preserve">1) As áreas escurecidas não devem ser alteradas sem justificativa; </w:t>
      </w:r>
    </w:p>
    <w:p w14:paraId="74ADFD68" w14:textId="77777777" w:rsidR="00434559" w:rsidRDefault="008F6152">
      <w:pPr>
        <w:ind w:right="-1"/>
        <w:jc w:val="both"/>
      </w:pPr>
      <w:r>
        <w:rPr>
          <w:rFonts w:cs="Calibri"/>
          <w:b/>
          <w:sz w:val="22"/>
          <w:szCs w:val="22"/>
        </w:rPr>
        <w:t>2) Este arquivo, devidamente preenchido, deverá constar no processo.</w:t>
      </w:r>
    </w:p>
    <w:p w14:paraId="51DF6AFA" w14:textId="77777777" w:rsidR="00434559" w:rsidRDefault="008F6152">
      <w:pPr>
        <w:ind w:right="-1"/>
        <w:jc w:val="both"/>
      </w:pPr>
      <w:r>
        <w:rPr>
          <w:rFonts w:cs="Calibri"/>
          <w:b/>
          <w:sz w:val="22"/>
          <w:szCs w:val="22"/>
        </w:rPr>
        <w:t>3) Quanto à participação de Consórcio e Cooperativas de Trabalho (CGL 4.1.3 e 4.1.4)</w:t>
      </w:r>
      <w:r>
        <w:t>, sinalizamos que a vedação deve ser justificada</w:t>
      </w:r>
      <w:r>
        <w:rPr>
          <w:rFonts w:cs="Calibri"/>
          <w:b/>
          <w:sz w:val="22"/>
          <w:szCs w:val="22"/>
        </w:rPr>
        <w:t xml:space="preserve">. </w:t>
      </w:r>
      <w:r>
        <w:rPr>
          <w:rFonts w:cs="Calibri"/>
          <w:sz w:val="22"/>
          <w:szCs w:val="22"/>
        </w:rPr>
        <w:t>Somente poderá ser alterada desde que devidamente justificado no processo, em documento separado da folha de dados o qual deve ter o título “</w:t>
      </w:r>
      <w:r>
        <w:rPr>
          <w:rFonts w:cs="Calibri"/>
          <w:b/>
          <w:sz w:val="22"/>
          <w:szCs w:val="22"/>
        </w:rPr>
        <w:t>JUSTIFICATIVA PARA NÃO PARTICIPAÇÃO DE COOPERATIVA DE TRABALHO e/ou CONSÓRCIO</w:t>
      </w:r>
      <w:r>
        <w:rPr>
          <w:rFonts w:cs="Calibri"/>
          <w:sz w:val="22"/>
          <w:szCs w:val="22"/>
        </w:rPr>
        <w:t xml:space="preserve">”, emitido pela </w:t>
      </w:r>
      <w:r>
        <w:rPr>
          <w:rFonts w:cs="Calibri"/>
          <w:b/>
          <w:sz w:val="22"/>
          <w:szCs w:val="22"/>
        </w:rPr>
        <w:t>Assessoria Jurídica do órgão/entidade</w:t>
      </w:r>
      <w:r>
        <w:rPr>
          <w:rFonts w:cs="Calibri"/>
          <w:sz w:val="22"/>
          <w:szCs w:val="22"/>
        </w:rPr>
        <w:t xml:space="preserve"> demandante da licitação. Neste caso deverá ser alterada a Folha de Dados CGL 4.1.3 E 4.1.4 para “Não será permitida a participação de Cooperativa de Trabalho”, excluindo o restante do texto. </w:t>
      </w:r>
    </w:p>
    <w:p w14:paraId="0317DDC1" w14:textId="77777777" w:rsidR="00434559" w:rsidRDefault="008F6152">
      <w:pPr>
        <w:ind w:right="-1"/>
      </w:pPr>
      <w:r>
        <w:rPr>
          <w:rFonts w:cs="Calibri"/>
          <w:b/>
          <w:sz w:val="22"/>
          <w:szCs w:val="22"/>
        </w:rPr>
        <w:t>A justificativa estará sujeita a análise e aceitação por parte da CELIC.</w:t>
      </w:r>
    </w:p>
    <w:p w14:paraId="45A2DBED" w14:textId="77777777" w:rsidR="00434559" w:rsidRDefault="00434559">
      <w:pPr>
        <w:pStyle w:val="Corpodetexto"/>
        <w:rPr>
          <w:rFonts w:cs="Calibri"/>
          <w:b/>
          <w:sz w:val="22"/>
          <w:szCs w:val="22"/>
        </w:rPr>
      </w:pPr>
    </w:p>
    <w:tbl>
      <w:tblPr>
        <w:tblW w:w="9288" w:type="dxa"/>
        <w:tblInd w:w="500" w:type="dxa"/>
        <w:tblLayout w:type="fixed"/>
        <w:tblCellMar>
          <w:top w:w="55" w:type="dxa"/>
          <w:left w:w="55" w:type="dxa"/>
          <w:bottom w:w="55" w:type="dxa"/>
          <w:right w:w="55" w:type="dxa"/>
        </w:tblCellMar>
        <w:tblLook w:val="0000" w:firstRow="0" w:lastRow="0" w:firstColumn="0" w:lastColumn="0" w:noHBand="0" w:noVBand="0"/>
      </w:tblPr>
      <w:tblGrid>
        <w:gridCol w:w="9288"/>
      </w:tblGrid>
      <w:tr w:rsidR="00434559" w14:paraId="0EA5EF9A" w14:textId="77777777">
        <w:tc>
          <w:tcPr>
            <w:tcW w:w="9288" w:type="dxa"/>
            <w:tcBorders>
              <w:top w:val="single" w:sz="4" w:space="0" w:color="000000"/>
              <w:left w:val="single" w:sz="4" w:space="0" w:color="000000"/>
              <w:bottom w:val="single" w:sz="4" w:space="0" w:color="000000"/>
              <w:right w:val="single" w:sz="4" w:space="0" w:color="000000"/>
            </w:tcBorders>
          </w:tcPr>
          <w:p w14:paraId="13DBF064" w14:textId="77777777" w:rsidR="00434559" w:rsidRDefault="008F6152">
            <w:pPr>
              <w:pStyle w:val="Contedodatabela"/>
            </w:pPr>
            <w:r>
              <w:rPr>
                <w:b/>
                <w:bCs/>
                <w:sz w:val="22"/>
                <w:szCs w:val="22"/>
              </w:rPr>
              <w:t xml:space="preserve">RESPONSÁVEL PELA LICITAÇÃO / </w:t>
            </w:r>
          </w:p>
          <w:p w14:paraId="77A1D5E9" w14:textId="77777777" w:rsidR="00434559" w:rsidRDefault="008F6152">
            <w:pPr>
              <w:pStyle w:val="A010177"/>
              <w:widowControl w:val="0"/>
              <w:ind w:right="113"/>
              <w:jc w:val="left"/>
            </w:pPr>
            <w:r>
              <w:rPr>
                <w:sz w:val="22"/>
                <w:szCs w:val="22"/>
                <w:shd w:val="clear" w:color="auto" w:fill="FFFFFF"/>
              </w:rPr>
              <w:t>Nome(s) (indicar o responsável pela licitação do órgão):</w:t>
            </w:r>
          </w:p>
          <w:p w14:paraId="16984495" w14:textId="77777777" w:rsidR="00434559" w:rsidRDefault="008F6152">
            <w:pPr>
              <w:pStyle w:val="A010177"/>
              <w:widowControl w:val="0"/>
              <w:ind w:right="113"/>
              <w:jc w:val="left"/>
            </w:pPr>
            <w:r>
              <w:rPr>
                <w:sz w:val="22"/>
                <w:szCs w:val="22"/>
                <w:shd w:val="clear" w:color="auto" w:fill="FFFFFF"/>
              </w:rPr>
              <w:t>E-mail(s):</w:t>
            </w:r>
          </w:p>
          <w:p w14:paraId="6A8BC232" w14:textId="77777777" w:rsidR="00434559" w:rsidRDefault="008F6152">
            <w:pPr>
              <w:pStyle w:val="A010177"/>
              <w:widowControl w:val="0"/>
              <w:ind w:right="113"/>
              <w:jc w:val="left"/>
            </w:pPr>
            <w:r>
              <w:rPr>
                <w:sz w:val="22"/>
                <w:szCs w:val="22"/>
                <w:shd w:val="clear" w:color="auto" w:fill="FFFFFF"/>
              </w:rPr>
              <w:t>Telefone(s) para contato:</w:t>
            </w:r>
          </w:p>
        </w:tc>
      </w:tr>
    </w:tbl>
    <w:p w14:paraId="0EE5AEF4" w14:textId="77777777" w:rsidR="00434559" w:rsidRDefault="00434559">
      <w:pPr>
        <w:rPr>
          <w:rFonts w:cs="Arial"/>
          <w:b/>
          <w:sz w:val="22"/>
          <w:szCs w:val="22"/>
        </w:rPr>
      </w:pPr>
    </w:p>
    <w:tbl>
      <w:tblPr>
        <w:tblW w:w="9288" w:type="dxa"/>
        <w:jc w:val="right"/>
        <w:tblLayout w:type="fixed"/>
        <w:tblCellMar>
          <w:top w:w="55" w:type="dxa"/>
          <w:left w:w="55" w:type="dxa"/>
          <w:bottom w:w="55" w:type="dxa"/>
          <w:right w:w="55" w:type="dxa"/>
        </w:tblCellMar>
        <w:tblLook w:val="0000" w:firstRow="0" w:lastRow="0" w:firstColumn="0" w:lastColumn="0" w:noHBand="0" w:noVBand="0"/>
      </w:tblPr>
      <w:tblGrid>
        <w:gridCol w:w="9288"/>
      </w:tblGrid>
      <w:tr w:rsidR="00434559" w14:paraId="5DB5F6F3" w14:textId="77777777">
        <w:trPr>
          <w:jc w:val="right"/>
        </w:trPr>
        <w:tc>
          <w:tcPr>
            <w:tcW w:w="9288" w:type="dxa"/>
            <w:tcBorders>
              <w:top w:val="single" w:sz="4" w:space="0" w:color="000000"/>
              <w:left w:val="single" w:sz="4" w:space="0" w:color="000000"/>
              <w:bottom w:val="single" w:sz="4" w:space="0" w:color="000000"/>
              <w:right w:val="single" w:sz="4" w:space="0" w:color="000000"/>
            </w:tcBorders>
          </w:tcPr>
          <w:p w14:paraId="1C758F79" w14:textId="77777777" w:rsidR="00434559" w:rsidRDefault="008F6152">
            <w:pPr>
              <w:pStyle w:val="A010177"/>
              <w:widowControl w:val="0"/>
              <w:ind w:right="-1"/>
              <w:jc w:val="left"/>
              <w:rPr>
                <w:b/>
                <w:color w:val="FF0000"/>
                <w:u w:val="single"/>
              </w:rPr>
            </w:pPr>
            <w:r>
              <w:rPr>
                <w:b/>
                <w:color w:val="FF0000"/>
                <w:u w:val="single"/>
              </w:rPr>
              <w:t xml:space="preserve">Informar prazo de entrega do bem (expresso em </w:t>
            </w:r>
            <w:proofErr w:type="spellStart"/>
            <w:r>
              <w:rPr>
                <w:b/>
                <w:color w:val="FF0000"/>
                <w:u w:val="single"/>
              </w:rPr>
              <w:t>dias</w:t>
            </w:r>
            <w:proofErr w:type="spellEnd"/>
            <w:r>
              <w:rPr>
                <w:b/>
                <w:color w:val="FF0000"/>
                <w:u w:val="single"/>
              </w:rPr>
              <w:t>):</w:t>
            </w:r>
          </w:p>
          <w:p w14:paraId="650DDDB6" w14:textId="77777777" w:rsidR="00434559" w:rsidRDefault="00434559">
            <w:pPr>
              <w:pStyle w:val="A010177"/>
              <w:widowControl w:val="0"/>
              <w:ind w:right="-1"/>
              <w:jc w:val="left"/>
              <w:rPr>
                <w:b/>
                <w:u w:val="single"/>
              </w:rPr>
            </w:pPr>
          </w:p>
          <w:p w14:paraId="5FFF7744" w14:textId="77777777" w:rsidR="00434559" w:rsidRDefault="00434559">
            <w:pPr>
              <w:pStyle w:val="A010177"/>
              <w:widowControl w:val="0"/>
              <w:ind w:right="-1"/>
              <w:jc w:val="left"/>
            </w:pPr>
          </w:p>
          <w:p w14:paraId="668F57F9" w14:textId="77777777" w:rsidR="00434559" w:rsidRDefault="00434559">
            <w:pPr>
              <w:pStyle w:val="A010177"/>
              <w:widowControl w:val="0"/>
              <w:ind w:right="-1"/>
              <w:jc w:val="left"/>
            </w:pPr>
          </w:p>
          <w:p w14:paraId="242ED75B" w14:textId="77777777" w:rsidR="00434559" w:rsidRDefault="00434559">
            <w:pPr>
              <w:pStyle w:val="A010177"/>
              <w:widowControl w:val="0"/>
              <w:ind w:right="-1"/>
              <w:jc w:val="left"/>
            </w:pPr>
          </w:p>
          <w:p w14:paraId="3408871D" w14:textId="77777777" w:rsidR="00434559" w:rsidRDefault="00434559">
            <w:pPr>
              <w:pStyle w:val="A010177"/>
              <w:widowControl w:val="0"/>
              <w:ind w:right="-1"/>
              <w:jc w:val="left"/>
            </w:pPr>
          </w:p>
          <w:p w14:paraId="46344132" w14:textId="77777777" w:rsidR="00434559" w:rsidRDefault="00434559">
            <w:pPr>
              <w:pStyle w:val="A010177"/>
              <w:widowControl w:val="0"/>
              <w:ind w:right="-1"/>
              <w:jc w:val="left"/>
            </w:pPr>
          </w:p>
        </w:tc>
      </w:tr>
    </w:tbl>
    <w:p w14:paraId="28CFB5AD" w14:textId="77777777" w:rsidR="00434559" w:rsidRDefault="00434559">
      <w:pPr>
        <w:rPr>
          <w:rFonts w:cs="Arial"/>
          <w:b/>
          <w:sz w:val="22"/>
          <w:szCs w:val="22"/>
        </w:rPr>
      </w:pPr>
    </w:p>
    <w:p w14:paraId="437968D1" w14:textId="77777777" w:rsidR="00434559" w:rsidRDefault="00434559">
      <w:pPr>
        <w:rPr>
          <w:rFonts w:cs="Arial"/>
          <w:b/>
          <w:sz w:val="22"/>
          <w:szCs w:val="22"/>
        </w:rPr>
      </w:pPr>
    </w:p>
    <w:p w14:paraId="23B6F1E5" w14:textId="77777777" w:rsidR="00434559" w:rsidRDefault="008F6152">
      <w:pPr>
        <w:jc w:val="center"/>
        <w:rPr>
          <w:rFonts w:ascii="Arial" w:hAnsi="Arial" w:cs="Arial"/>
          <w:b/>
          <w:bCs/>
        </w:rPr>
      </w:pPr>
      <w:r>
        <w:rPr>
          <w:rFonts w:ascii="Arial" w:hAnsi="Arial" w:cs="Arial"/>
          <w:b/>
          <w:bCs/>
        </w:rPr>
        <w:t>ANEXO IV - FOLHA DE DADOS</w:t>
      </w:r>
    </w:p>
    <w:p w14:paraId="3C6A9B1C" w14:textId="77777777" w:rsidR="00434559" w:rsidRDefault="008F6152">
      <w:pPr>
        <w:jc w:val="center"/>
        <w:rPr>
          <w:rFonts w:ascii="Arial" w:hAnsi="Arial" w:cs="Arial"/>
          <w:b/>
        </w:rPr>
      </w:pPr>
      <w:r>
        <w:rPr>
          <w:rFonts w:ascii="Arial" w:hAnsi="Arial" w:cs="Arial"/>
          <w:b/>
        </w:rPr>
        <w:t>CGL - Condições Gerais de Licitação</w:t>
      </w:r>
    </w:p>
    <w:tbl>
      <w:tblPr>
        <w:tblW w:w="10515" w:type="dxa"/>
        <w:tblInd w:w="-175" w:type="dxa"/>
        <w:tblLayout w:type="fixed"/>
        <w:tblCellMar>
          <w:left w:w="115" w:type="dxa"/>
          <w:right w:w="115" w:type="dxa"/>
        </w:tblCellMar>
        <w:tblLook w:val="0400" w:firstRow="0" w:lastRow="0" w:firstColumn="0" w:lastColumn="0" w:noHBand="0" w:noVBand="1"/>
      </w:tblPr>
      <w:tblGrid>
        <w:gridCol w:w="1556"/>
        <w:gridCol w:w="8959"/>
      </w:tblGrid>
      <w:tr w:rsidR="00434559" w14:paraId="3F49495C" w14:textId="77777777">
        <w:trPr>
          <w:cantSplit/>
          <w:trHeight w:val="511"/>
        </w:trPr>
        <w:tc>
          <w:tcPr>
            <w:tcW w:w="10514" w:type="dxa"/>
            <w:gridSpan w:val="2"/>
            <w:tcBorders>
              <w:top w:val="single" w:sz="6" w:space="0" w:color="000000"/>
              <w:left w:val="single" w:sz="6" w:space="0" w:color="000000"/>
              <w:bottom w:val="single" w:sz="6" w:space="0" w:color="000000"/>
              <w:right w:val="single" w:sz="6" w:space="0" w:color="000000"/>
            </w:tcBorders>
          </w:tcPr>
          <w:p w14:paraId="60CD4E7F" w14:textId="77777777" w:rsidR="00434559" w:rsidRDefault="008F6152">
            <w:pPr>
              <w:widowControl w:val="0"/>
              <w:spacing w:line="252" w:lineRule="auto"/>
              <w:jc w:val="center"/>
              <w:rPr>
                <w:rFonts w:ascii="Arial" w:hAnsi="Arial" w:cs="Arial"/>
                <w:b/>
              </w:rPr>
            </w:pPr>
            <w:r>
              <w:rPr>
                <w:rFonts w:ascii="Arial" w:hAnsi="Arial" w:cs="Arial"/>
                <w:b/>
              </w:rPr>
              <w:t>Complemento ou Modificação</w:t>
            </w:r>
          </w:p>
        </w:tc>
      </w:tr>
      <w:tr w:rsidR="00434559" w14:paraId="1E8D529A" w14:textId="77777777">
        <w:trPr>
          <w:trHeight w:val="282"/>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990257C" w14:textId="77777777" w:rsidR="00434559" w:rsidRDefault="008F6152">
            <w:pPr>
              <w:widowControl w:val="0"/>
              <w:rPr>
                <w:rFonts w:ascii="Arial" w:hAnsi="Arial" w:cs="Arial"/>
              </w:rPr>
            </w:pPr>
            <w:r>
              <w:rPr>
                <w:rFonts w:ascii="Arial" w:hAnsi="Arial" w:cs="Arial"/>
              </w:rPr>
              <w:t>Preâmbulo</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9FB08CC" w14:textId="77777777" w:rsidR="00434559" w:rsidRDefault="008F6152">
            <w:pPr>
              <w:widowControl w:val="0"/>
              <w:rPr>
                <w:rFonts w:ascii="Arial" w:hAnsi="Arial" w:cs="Arial"/>
              </w:rPr>
            </w:pPr>
            <w:r>
              <w:rPr>
                <w:rFonts w:ascii="Arial" w:hAnsi="Arial" w:cs="Arial"/>
              </w:rPr>
              <w:t>O Estado do Rio Grande do Sul por intermédio da Central de Licitações – CELIC.</w:t>
            </w:r>
          </w:p>
        </w:tc>
      </w:tr>
      <w:tr w:rsidR="00434559" w14:paraId="327113B3" w14:textId="77777777">
        <w:trPr>
          <w:trHeight w:val="308"/>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EA6A547" w14:textId="77777777" w:rsidR="00434559" w:rsidRDefault="008F6152">
            <w:pPr>
              <w:widowControl w:val="0"/>
              <w:rPr>
                <w:rFonts w:ascii="Arial" w:hAnsi="Arial" w:cs="Arial"/>
              </w:rPr>
            </w:pPr>
            <w:r>
              <w:rPr>
                <w:rFonts w:ascii="Arial" w:hAnsi="Arial" w:cs="Arial"/>
              </w:rPr>
              <w:t>CGL 1.1</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A1F6BA2" w14:textId="77777777" w:rsidR="00434559" w:rsidRDefault="008F6152">
            <w:pPr>
              <w:widowControl w:val="0"/>
              <w:rPr>
                <w:rFonts w:ascii="Arial" w:hAnsi="Arial" w:cs="Arial"/>
              </w:rPr>
            </w:pPr>
            <w:r>
              <w:t>Vide Anexo V – Termo de Referência.</w:t>
            </w:r>
          </w:p>
        </w:tc>
      </w:tr>
      <w:tr w:rsidR="00434559" w14:paraId="3B4596C3" w14:textId="77777777">
        <w:trPr>
          <w:trHeight w:val="572"/>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70D7872" w14:textId="77777777" w:rsidR="00434559" w:rsidRDefault="008F6152">
            <w:pPr>
              <w:widowControl w:val="0"/>
              <w:rPr>
                <w:rFonts w:ascii="Arial" w:hAnsi="Arial" w:cs="Arial"/>
              </w:rPr>
            </w:pPr>
            <w:r>
              <w:rPr>
                <w:rFonts w:ascii="Arial" w:hAnsi="Arial" w:cs="Arial"/>
              </w:rPr>
              <w:t>CGL 2.1</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AD26CA8" w14:textId="77777777" w:rsidR="00434559" w:rsidRDefault="008F6152">
            <w:pPr>
              <w:widowControl w:val="0"/>
            </w:pPr>
            <w:r>
              <w:rPr>
                <w:b/>
              </w:rPr>
              <w:t>Local de disponibilização do Edital:</w:t>
            </w:r>
            <w:r>
              <w:t xml:space="preserve"> </w:t>
            </w:r>
            <w:r>
              <w:rPr>
                <w:u w:val="single"/>
              </w:rPr>
              <w:t>www.compras.rs.gov.br</w:t>
            </w:r>
            <w:r>
              <w:t xml:space="preserve"> ou  </w:t>
            </w:r>
            <w:hyperlink r:id="rId10">
              <w:r>
                <w:rPr>
                  <w:rStyle w:val="LinkdaInternet"/>
                </w:rPr>
                <w:t>www.celic.rs.gov.br</w:t>
              </w:r>
            </w:hyperlink>
            <w:r>
              <w:t>.</w:t>
            </w:r>
          </w:p>
          <w:p w14:paraId="159F2833" w14:textId="77777777" w:rsidR="00434559" w:rsidRDefault="008F6152">
            <w:pPr>
              <w:widowControl w:val="0"/>
              <w:rPr>
                <w:b/>
              </w:rPr>
            </w:pPr>
            <w:r>
              <w:rPr>
                <w:b/>
              </w:rPr>
              <w:t xml:space="preserve">Pedidos de esclarecimentos e impugnações: </w:t>
            </w:r>
            <w:r>
              <w:t xml:space="preserve">deverão ser encaminhados exclusivamente pelo Sistema Eletrônico: </w:t>
            </w:r>
            <w:hyperlink r:id="rId11">
              <w:r>
                <w:rPr>
                  <w:rStyle w:val="LinkdaInternet"/>
                </w:rPr>
                <w:t>www.compras.rs.gov.br</w:t>
              </w:r>
            </w:hyperlink>
            <w:r>
              <w:rPr>
                <w:u w:val="single"/>
              </w:rPr>
              <w:t>,</w:t>
            </w:r>
            <w:r>
              <w:t xml:space="preserve"> na área de Informações do Edital. </w:t>
            </w:r>
          </w:p>
          <w:p w14:paraId="15D5E4BA" w14:textId="77777777" w:rsidR="00434559" w:rsidRDefault="008F6152">
            <w:pPr>
              <w:widowControl w:val="0"/>
              <w:rPr>
                <w:u w:val="single"/>
              </w:rPr>
            </w:pPr>
            <w:r>
              <w:rPr>
                <w:b/>
              </w:rPr>
              <w:t xml:space="preserve">Recursos: </w:t>
            </w:r>
            <w:r>
              <w:t>mediante login no</w:t>
            </w:r>
            <w:r>
              <w:rPr>
                <w:b/>
              </w:rPr>
              <w:t xml:space="preserve"> </w:t>
            </w:r>
            <w:r>
              <w:t xml:space="preserve">portal </w:t>
            </w:r>
            <w:hyperlink r:id="rId12">
              <w:r>
                <w:rPr>
                  <w:rStyle w:val="LinkdaInternet"/>
                </w:rPr>
                <w:t>www.compras.rs.gov.br</w:t>
              </w:r>
            </w:hyperlink>
            <w:r>
              <w:t>.</w:t>
            </w:r>
          </w:p>
          <w:p w14:paraId="49B46FE3" w14:textId="77777777" w:rsidR="00434559" w:rsidRDefault="008F6152">
            <w:pPr>
              <w:widowControl w:val="0"/>
              <w:rPr>
                <w:u w:val="single"/>
              </w:rPr>
            </w:pPr>
            <w:r>
              <w:rPr>
                <w:b/>
              </w:rPr>
              <w:t xml:space="preserve">Credenciamento Pessoa Física: </w:t>
            </w:r>
            <w:r>
              <w:rPr>
                <w:rStyle w:val="nfaseforte"/>
              </w:rPr>
              <w:t>portaldofornecedor.rs.gov.br</w:t>
            </w:r>
            <w:r>
              <w:rPr>
                <w:rStyle w:val="LinkdaInternet"/>
              </w:rPr>
              <w:t xml:space="preserve"> </w:t>
            </w:r>
          </w:p>
          <w:p w14:paraId="2A3539C6" w14:textId="77777777" w:rsidR="00434559" w:rsidRDefault="008F6152">
            <w:pPr>
              <w:widowControl w:val="0"/>
              <w:rPr>
                <w:b/>
              </w:rPr>
            </w:pPr>
            <w:r>
              <w:rPr>
                <w:b/>
              </w:rPr>
              <w:t xml:space="preserve">Credenciamento Pessoa Jurídica: </w:t>
            </w:r>
            <w:r>
              <w:rPr>
                <w:rStyle w:val="nfaseforte"/>
              </w:rPr>
              <w:t>portaldofornecedor.rs.gov.br</w:t>
            </w:r>
            <w:r>
              <w:rPr>
                <w:b/>
              </w:rPr>
              <w:t xml:space="preserve"> </w:t>
            </w:r>
          </w:p>
          <w:p w14:paraId="56F62065" w14:textId="58CC9ECF" w:rsidR="00434559" w:rsidRDefault="008F6152">
            <w:pPr>
              <w:widowControl w:val="0"/>
              <w:rPr>
                <w:rFonts w:ascii="Arial" w:hAnsi="Arial" w:cs="Arial"/>
              </w:rPr>
            </w:pPr>
            <w:r>
              <w:rPr>
                <w:rStyle w:val="ui-provider"/>
              </w:rPr>
              <w:t xml:space="preserve">Orientações sobre procedimentos e fundamentação legal para os atos da fase externa dos certames processados pela CELIC/RS encontram-se no link </w:t>
            </w:r>
            <w:hyperlink r:id="rId13" w:tgtFrame="_blank" w:tooltip="http://celic.rs.gov.br/orientacoes-gerais-aos-licitantes" w:history="1">
              <w:r w:rsidR="00C74E58" w:rsidRPr="00C74E58">
                <w:rPr>
                  <w:rStyle w:val="Hyperlink"/>
                  <w:sz w:val="18"/>
                  <w:szCs w:val="18"/>
                </w:rPr>
                <w:t>http://celic.rs.gov.br/orientacoes-gerais-aos-licitantes</w:t>
              </w:r>
            </w:hyperlink>
          </w:p>
        </w:tc>
      </w:tr>
      <w:tr w:rsidR="00434559" w14:paraId="46F76AA5" w14:textId="77777777">
        <w:trPr>
          <w:trHeight w:val="389"/>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7B58908" w14:textId="77777777" w:rsidR="00434559" w:rsidRDefault="008F6152">
            <w:pPr>
              <w:widowControl w:val="0"/>
              <w:rPr>
                <w:rFonts w:ascii="Arial" w:hAnsi="Arial" w:cs="Arial"/>
              </w:rPr>
            </w:pPr>
            <w:r>
              <w:rPr>
                <w:rFonts w:ascii="Arial" w:hAnsi="Arial" w:cs="Arial"/>
              </w:rPr>
              <w:t>CGL 2.2</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A570214" w14:textId="77777777" w:rsidR="00434559" w:rsidRDefault="008F6152">
            <w:pPr>
              <w:widowControl w:val="0"/>
              <w:suppressAutoHyphens w:val="0"/>
            </w:pPr>
            <w:r>
              <w:t>Endereço eletrônico do ambiente de disputa:</w:t>
            </w:r>
            <w:r>
              <w:rPr>
                <w:u w:val="single"/>
              </w:rPr>
              <w:t xml:space="preserve"> www.compras.rs.gov.br</w:t>
            </w:r>
          </w:p>
        </w:tc>
      </w:tr>
      <w:tr w:rsidR="00434559" w14:paraId="323805A3" w14:textId="77777777">
        <w:trPr>
          <w:trHeight w:val="389"/>
        </w:trPr>
        <w:tc>
          <w:tcPr>
            <w:tcW w:w="1556" w:type="dxa"/>
            <w:tcBorders>
              <w:left w:val="single" w:sz="6" w:space="0" w:color="000000"/>
              <w:bottom w:val="single" w:sz="6" w:space="0" w:color="000000"/>
              <w:right w:val="single" w:sz="6" w:space="0" w:color="000000"/>
            </w:tcBorders>
            <w:shd w:val="clear" w:color="auto" w:fill="D9D9D9" w:themeFill="background1" w:themeFillShade="D9"/>
          </w:tcPr>
          <w:p w14:paraId="1CC30A52" w14:textId="77777777" w:rsidR="00434559" w:rsidRDefault="008F6152">
            <w:pPr>
              <w:widowControl w:val="0"/>
              <w:rPr>
                <w:rFonts w:ascii="Arial" w:hAnsi="Arial" w:cs="Arial"/>
              </w:rPr>
            </w:pPr>
            <w:r>
              <w:rPr>
                <w:rFonts w:ascii="Arial" w:hAnsi="Arial" w:cs="Arial"/>
              </w:rPr>
              <w:t>CGL 3.1</w:t>
            </w:r>
          </w:p>
        </w:tc>
        <w:tc>
          <w:tcPr>
            <w:tcW w:w="8958" w:type="dxa"/>
            <w:tcBorders>
              <w:left w:val="single" w:sz="6" w:space="0" w:color="000000"/>
              <w:bottom w:val="single" w:sz="6" w:space="0" w:color="000000"/>
              <w:right w:val="single" w:sz="6" w:space="0" w:color="000000"/>
            </w:tcBorders>
            <w:shd w:val="clear" w:color="auto" w:fill="D9D9D9" w:themeFill="background1" w:themeFillShade="D9"/>
          </w:tcPr>
          <w:p w14:paraId="016F9F1E" w14:textId="77777777" w:rsidR="00434559" w:rsidRDefault="008F6152">
            <w:pPr>
              <w:widowControl w:val="0"/>
              <w:rPr>
                <w:rFonts w:ascii="Arial" w:hAnsi="Arial" w:cs="Arial"/>
              </w:rPr>
            </w:pPr>
            <w:r>
              <w:t>Vide Anexo V - Termo de Referência.</w:t>
            </w:r>
          </w:p>
        </w:tc>
      </w:tr>
      <w:tr w:rsidR="00434559" w14:paraId="55B73276" w14:textId="77777777">
        <w:trPr>
          <w:trHeight w:val="55"/>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A3CF97C" w14:textId="77777777" w:rsidR="00434559" w:rsidRDefault="008F6152">
            <w:pPr>
              <w:widowControl w:val="0"/>
              <w:rPr>
                <w:rFonts w:ascii="Arial" w:hAnsi="Arial" w:cs="Arial"/>
              </w:rPr>
            </w:pPr>
            <w:r>
              <w:rPr>
                <w:rFonts w:ascii="Arial" w:hAnsi="Arial" w:cs="Arial"/>
              </w:rPr>
              <w:t>CGL 4.1.1</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03BE307" w14:textId="77777777" w:rsidR="00434559" w:rsidRDefault="008F6152">
            <w:pPr>
              <w:widowControl w:val="0"/>
              <w:spacing w:after="120"/>
              <w:rPr>
                <w:rFonts w:ascii="Arial" w:hAnsi="Arial" w:cs="Arial"/>
                <w:color w:val="000000" w:themeColor="text1"/>
                <w:u w:val="single"/>
              </w:rPr>
            </w:pPr>
            <w:proofErr w:type="gramStart"/>
            <w:r>
              <w:rPr>
                <w:rFonts w:ascii="Arial" w:hAnsi="Arial" w:cs="Arial"/>
                <w:color w:val="000000" w:themeColor="text1"/>
                <w:u w:val="single"/>
              </w:rPr>
              <w:t>( )</w:t>
            </w:r>
            <w:proofErr w:type="gramEnd"/>
            <w:r>
              <w:rPr>
                <w:rFonts w:ascii="Arial" w:hAnsi="Arial" w:cs="Arial"/>
                <w:color w:val="000000" w:themeColor="text1"/>
                <w:u w:val="single"/>
              </w:rPr>
              <w:t xml:space="preserve"> Participação preferencial de Microempresa e Empresa de Pequeno Porte.</w:t>
            </w:r>
          </w:p>
          <w:p w14:paraId="14813EA0" w14:textId="77777777" w:rsidR="00434559" w:rsidRDefault="008F6152">
            <w:pPr>
              <w:widowControl w:val="0"/>
              <w:spacing w:after="120"/>
              <w:rPr>
                <w:rFonts w:ascii="Arial" w:hAnsi="Arial" w:cs="Arial"/>
                <w:color w:val="000000" w:themeColor="text1"/>
                <w:u w:val="single"/>
              </w:rPr>
            </w:pPr>
            <w:proofErr w:type="gramStart"/>
            <w:r>
              <w:rPr>
                <w:rFonts w:ascii="Arial" w:hAnsi="Arial" w:cs="Arial"/>
                <w:color w:val="000000" w:themeColor="text1"/>
                <w:u w:val="single"/>
              </w:rPr>
              <w:t>( )</w:t>
            </w:r>
            <w:proofErr w:type="gramEnd"/>
            <w:r>
              <w:rPr>
                <w:rFonts w:ascii="Arial" w:hAnsi="Arial" w:cs="Arial"/>
                <w:color w:val="000000" w:themeColor="text1"/>
                <w:u w:val="single"/>
              </w:rPr>
              <w:t xml:space="preserve"> Participação exclusiva de Microempresa e Empresa de Pequeno Porte.</w:t>
            </w:r>
          </w:p>
          <w:p w14:paraId="3D4C4F5D" w14:textId="77777777" w:rsidR="00434559" w:rsidRDefault="008F6152">
            <w:pPr>
              <w:widowControl w:val="0"/>
              <w:spacing w:after="120"/>
              <w:rPr>
                <w:rFonts w:ascii="Arial" w:hAnsi="Arial" w:cs="Arial"/>
                <w:color w:val="000000" w:themeColor="text1"/>
                <w:u w:val="single"/>
              </w:rPr>
            </w:pPr>
            <w:proofErr w:type="gramStart"/>
            <w:r>
              <w:rPr>
                <w:rFonts w:ascii="Arial" w:hAnsi="Arial" w:cs="Arial"/>
                <w:color w:val="000000" w:themeColor="text1"/>
                <w:u w:val="single"/>
              </w:rPr>
              <w:lastRenderedPageBreak/>
              <w:t>( )</w:t>
            </w:r>
            <w:proofErr w:type="gramEnd"/>
            <w:r>
              <w:rPr>
                <w:rFonts w:ascii="Arial" w:hAnsi="Arial" w:cs="Arial"/>
                <w:color w:val="000000" w:themeColor="text1"/>
                <w:u w:val="single"/>
              </w:rPr>
              <w:t xml:space="preserve"> Participação preferencial ou exclusiva de Microempresa e Empresa de Pequeno Porte, conforme definido em cada lote do Termo de referência.</w:t>
            </w:r>
          </w:p>
          <w:p w14:paraId="338D7B12" w14:textId="77777777" w:rsidR="00434559" w:rsidRDefault="008F6152">
            <w:pPr>
              <w:widowControl w:val="0"/>
              <w:spacing w:after="120"/>
              <w:rPr>
                <w:rFonts w:ascii="Arial" w:hAnsi="Arial" w:cs="Arial"/>
              </w:rPr>
            </w:pPr>
            <w:proofErr w:type="gramStart"/>
            <w:r>
              <w:rPr>
                <w:rFonts w:ascii="Arial" w:hAnsi="Arial" w:cs="Arial"/>
                <w:color w:val="000000" w:themeColor="text1"/>
                <w:u w:val="single"/>
              </w:rPr>
              <w:t>(  )</w:t>
            </w:r>
            <w:proofErr w:type="gramEnd"/>
            <w:r>
              <w:rPr>
                <w:rFonts w:ascii="Arial" w:hAnsi="Arial" w:cs="Arial"/>
                <w:color w:val="000000" w:themeColor="text1"/>
                <w:u w:val="single"/>
              </w:rPr>
              <w:t xml:space="preserve"> Sem tratamento preferencial conforme item 5.10 do Edital.</w:t>
            </w:r>
          </w:p>
        </w:tc>
      </w:tr>
      <w:tr w:rsidR="00434559" w14:paraId="69F8B30C" w14:textId="77777777">
        <w:trPr>
          <w:trHeight w:val="386"/>
        </w:trPr>
        <w:tc>
          <w:tcPr>
            <w:tcW w:w="1556" w:type="dxa"/>
            <w:tcBorders>
              <w:top w:val="single" w:sz="6" w:space="0" w:color="000000"/>
              <w:left w:val="single" w:sz="6" w:space="0" w:color="000000"/>
              <w:bottom w:val="single" w:sz="6" w:space="0" w:color="000000"/>
              <w:right w:val="single" w:sz="6" w:space="0" w:color="000000"/>
            </w:tcBorders>
          </w:tcPr>
          <w:p w14:paraId="7017B94C" w14:textId="77777777" w:rsidR="00434559" w:rsidRDefault="008F6152">
            <w:pPr>
              <w:widowControl w:val="0"/>
              <w:rPr>
                <w:rFonts w:ascii="Arial" w:hAnsi="Arial" w:cs="Arial"/>
              </w:rPr>
            </w:pPr>
            <w:r>
              <w:rPr>
                <w:rFonts w:ascii="Arial" w:hAnsi="Arial" w:cs="Arial"/>
              </w:rPr>
              <w:lastRenderedPageBreak/>
              <w:t>CGL 4.1.3</w:t>
            </w:r>
          </w:p>
        </w:tc>
        <w:tc>
          <w:tcPr>
            <w:tcW w:w="8958" w:type="dxa"/>
            <w:tcBorders>
              <w:top w:val="single" w:sz="6" w:space="0" w:color="000000"/>
              <w:left w:val="single" w:sz="6" w:space="0" w:color="000000"/>
              <w:bottom w:val="single" w:sz="6" w:space="0" w:color="000000"/>
              <w:right w:val="single" w:sz="6" w:space="0" w:color="000000"/>
            </w:tcBorders>
          </w:tcPr>
          <w:p w14:paraId="592C900B" w14:textId="77777777" w:rsidR="00434559" w:rsidRDefault="008F6152">
            <w:pPr>
              <w:widowControl w:val="0"/>
              <w:spacing w:before="120" w:after="120"/>
              <w:rPr>
                <w:rFonts w:ascii="Arial" w:hAnsi="Arial" w:cs="Arial"/>
              </w:rPr>
            </w:pPr>
            <w:r>
              <w:rPr>
                <w:rFonts w:ascii="Arial" w:hAnsi="Arial" w:cs="Arial"/>
              </w:rPr>
              <w:t xml:space="preserve">[Não será permitida participação de </w:t>
            </w:r>
            <w:proofErr w:type="gramStart"/>
            <w:r>
              <w:rPr>
                <w:rFonts w:ascii="Arial" w:hAnsi="Arial" w:cs="Arial"/>
              </w:rPr>
              <w:t>Consórcio.[</w:t>
            </w:r>
            <w:proofErr w:type="gramEnd"/>
            <w:r>
              <w:rPr>
                <w:rFonts w:ascii="Arial" w:hAnsi="Arial" w:cs="Arial"/>
                <w:color w:val="FF0000"/>
              </w:rPr>
              <w:t>proibição deve ser justificada, com anuência da Assessoria Jurídica do Órgão Demandante]</w:t>
            </w:r>
            <w:r>
              <w:rPr>
                <w:rFonts w:ascii="Arial" w:hAnsi="Arial" w:cs="Arial"/>
              </w:rPr>
              <w:t xml:space="preserve"> </w:t>
            </w:r>
          </w:p>
          <w:p w14:paraId="1D9EE485" w14:textId="77777777" w:rsidR="00434559" w:rsidRDefault="008F6152">
            <w:pPr>
              <w:widowControl w:val="0"/>
              <w:spacing w:after="120"/>
              <w:rPr>
                <w:rFonts w:ascii="Arial" w:hAnsi="Arial" w:cs="Arial"/>
              </w:rPr>
            </w:pPr>
            <w:r>
              <w:rPr>
                <w:rFonts w:ascii="Arial" w:hAnsi="Arial" w:cs="Arial"/>
              </w:rPr>
              <w:t>[OU]</w:t>
            </w:r>
          </w:p>
          <w:p w14:paraId="73B172B8" w14:textId="77777777" w:rsidR="00434559" w:rsidRDefault="008F6152">
            <w:pPr>
              <w:widowControl w:val="0"/>
              <w:spacing w:after="120"/>
              <w:rPr>
                <w:rFonts w:ascii="Arial" w:hAnsi="Arial" w:cs="Arial"/>
              </w:rPr>
            </w:pPr>
            <w:r>
              <w:rPr>
                <w:rFonts w:ascii="Arial" w:hAnsi="Arial" w:cs="Arial"/>
              </w:rPr>
              <w:t>[Será permitida participação de Consórcio:</w:t>
            </w:r>
          </w:p>
          <w:p w14:paraId="798AE3B8" w14:textId="77777777" w:rsidR="00434559" w:rsidRDefault="00434559">
            <w:pPr>
              <w:widowControl w:val="0"/>
              <w:spacing w:before="120" w:after="120"/>
              <w:rPr>
                <w:rFonts w:ascii="Arial" w:hAnsi="Arial" w:cs="Arial"/>
              </w:rPr>
            </w:pPr>
          </w:p>
          <w:p w14:paraId="604EF2D1" w14:textId="77777777" w:rsidR="00434559" w:rsidRDefault="008F6152">
            <w:pPr>
              <w:widowControl w:val="0"/>
              <w:spacing w:before="120" w:after="120"/>
              <w:rPr>
                <w:rFonts w:ascii="Arial" w:hAnsi="Arial" w:cs="Arial"/>
              </w:rPr>
            </w:pPr>
            <w:r>
              <w:rPr>
                <w:rFonts w:ascii="Arial" w:hAnsi="Arial" w:cs="Arial"/>
              </w:rPr>
              <w:t xml:space="preserve">I – Será permitida a participação de Consórcio, nas seguintes condições: </w:t>
            </w:r>
          </w:p>
          <w:p w14:paraId="4FC62832" w14:textId="77777777" w:rsidR="00434559" w:rsidRDefault="008F6152">
            <w:pPr>
              <w:widowControl w:val="0"/>
              <w:spacing w:before="120" w:after="120"/>
              <w:rPr>
                <w:rFonts w:ascii="Arial" w:hAnsi="Arial" w:cs="Arial"/>
              </w:rPr>
            </w:pPr>
            <w:r>
              <w:rPr>
                <w:rFonts w:ascii="Arial" w:hAnsi="Arial" w:cs="Arial"/>
              </w:rPr>
              <w:t xml:space="preserve">a) Impedimento de participação de empresa consorciada, na mesma licitação, através de mais de um consórcio ou isoladamente; </w:t>
            </w:r>
          </w:p>
          <w:p w14:paraId="0000F211" w14:textId="77777777" w:rsidR="00434559" w:rsidRDefault="008F6152">
            <w:pPr>
              <w:widowControl w:val="0"/>
              <w:spacing w:before="120" w:after="120"/>
              <w:rPr>
                <w:rFonts w:ascii="Arial" w:hAnsi="Arial" w:cs="Arial"/>
              </w:rPr>
            </w:pPr>
            <w:r>
              <w:rPr>
                <w:rFonts w:ascii="Arial" w:hAnsi="Arial" w:cs="Arial"/>
              </w:rPr>
              <w:t xml:space="preserve">b) Responsabilidade solidária dos integrantes pelos atos praticados em consórcio, tanto na fase de licitação, quanto na de execução do contrato; </w:t>
            </w:r>
          </w:p>
          <w:p w14:paraId="3F5318DE" w14:textId="77777777" w:rsidR="00434559" w:rsidRDefault="008F6152">
            <w:pPr>
              <w:widowControl w:val="0"/>
              <w:spacing w:before="120" w:after="120"/>
              <w:rPr>
                <w:rFonts w:ascii="Arial" w:hAnsi="Arial" w:cs="Arial"/>
              </w:rPr>
            </w:pPr>
            <w:r>
              <w:rPr>
                <w:rFonts w:ascii="Arial" w:hAnsi="Arial" w:cs="Arial"/>
              </w:rPr>
              <w:t xml:space="preserve">c) Obrigatoriedade de constituição e registro do consórcio antes da celebração do contrato, nos termos do compromisso subscrito pelos consorciados. </w:t>
            </w:r>
          </w:p>
          <w:p w14:paraId="71EDDA4F" w14:textId="77777777" w:rsidR="00434559" w:rsidRDefault="008F6152">
            <w:pPr>
              <w:widowControl w:val="0"/>
              <w:spacing w:before="120" w:after="120"/>
              <w:rPr>
                <w:rFonts w:ascii="Arial" w:hAnsi="Arial" w:cs="Arial"/>
              </w:rPr>
            </w:pPr>
            <w:r>
              <w:rPr>
                <w:rFonts w:ascii="Arial" w:hAnsi="Arial" w:cs="Arial"/>
              </w:rPr>
              <w:t>d) Credenciamento e operação no Sistema de Compras Eletrônicas pela empresa líder do consórcio.</w:t>
            </w:r>
          </w:p>
          <w:p w14:paraId="4CDCF246" w14:textId="77777777" w:rsidR="00434559" w:rsidRDefault="008F6152">
            <w:pPr>
              <w:widowControl w:val="0"/>
              <w:spacing w:before="120" w:after="120"/>
              <w:rPr>
                <w:rFonts w:ascii="Arial" w:hAnsi="Arial" w:cs="Arial"/>
              </w:rPr>
            </w:pPr>
            <w:r>
              <w:rPr>
                <w:rFonts w:ascii="Arial" w:hAnsi="Arial" w:cs="Arial"/>
              </w:rPr>
              <w:t xml:space="preserve">II – Para fins de Habilitação, os Consórcios deverão apresentar os seguintes documentos: </w:t>
            </w:r>
          </w:p>
          <w:p w14:paraId="53473EB8" w14:textId="77777777" w:rsidR="00434559" w:rsidRDefault="008F6152">
            <w:pPr>
              <w:widowControl w:val="0"/>
              <w:spacing w:before="120" w:after="120"/>
              <w:rPr>
                <w:rFonts w:ascii="Arial" w:hAnsi="Arial" w:cs="Arial"/>
              </w:rPr>
            </w:pPr>
            <w:r>
              <w:rPr>
                <w:rFonts w:ascii="Arial" w:hAnsi="Arial" w:cs="Arial"/>
              </w:rPr>
              <w:t xml:space="preserve">a) Comprovação do compromisso público ou particular de constituição, subscrito pelos consorciados; </w:t>
            </w:r>
          </w:p>
          <w:p w14:paraId="6F3E0A22" w14:textId="77777777" w:rsidR="00434559" w:rsidRDefault="008F6152">
            <w:pPr>
              <w:widowControl w:val="0"/>
              <w:spacing w:before="120" w:after="120"/>
              <w:rPr>
                <w:rFonts w:ascii="Arial" w:hAnsi="Arial" w:cs="Arial"/>
              </w:rPr>
            </w:pPr>
            <w:r>
              <w:rPr>
                <w:rFonts w:ascii="Arial" w:hAnsi="Arial" w:cs="Arial"/>
              </w:rPr>
              <w:t xml:space="preserve">b) Indicação da empresa líder do consórcio que deverá: </w:t>
            </w:r>
          </w:p>
          <w:p w14:paraId="3A17ACC5" w14:textId="77777777" w:rsidR="00434559" w:rsidRDefault="008F6152">
            <w:pPr>
              <w:widowControl w:val="0"/>
              <w:spacing w:before="120" w:after="120"/>
              <w:rPr>
                <w:rFonts w:ascii="Arial" w:hAnsi="Arial" w:cs="Arial"/>
              </w:rPr>
            </w:pPr>
            <w:r>
              <w:rPr>
                <w:rFonts w:ascii="Arial" w:hAnsi="Arial" w:cs="Arial"/>
              </w:rPr>
              <w:t xml:space="preserve">b.1) responsabilizar-se por todas as comunicações e informações perante o contratante; </w:t>
            </w:r>
          </w:p>
          <w:p w14:paraId="394BC321" w14:textId="77777777" w:rsidR="00434559" w:rsidRDefault="008F6152">
            <w:pPr>
              <w:widowControl w:val="0"/>
              <w:spacing w:before="120" w:after="120"/>
              <w:rPr>
                <w:rFonts w:ascii="Arial" w:hAnsi="Arial" w:cs="Arial"/>
              </w:rPr>
            </w:pPr>
            <w:r>
              <w:rPr>
                <w:rFonts w:ascii="Arial" w:hAnsi="Arial" w:cs="Arial"/>
              </w:rPr>
              <w:t xml:space="preserve">b.2) responsabilizar-se pelo contrato a ser firmado, sob os aspectos técnicos e administrativos, com poderes expressos inclusive para transferir, requerer, receber e dar quitação, tanto para fins desta Licitação, quanto na execução do contrato, sem prejuízo da responsabilidade de cada um dos consorciados; </w:t>
            </w:r>
          </w:p>
          <w:p w14:paraId="2A89A05B" w14:textId="77777777" w:rsidR="00434559" w:rsidRDefault="008F6152">
            <w:pPr>
              <w:widowControl w:val="0"/>
              <w:spacing w:before="120" w:after="120"/>
              <w:rPr>
                <w:rFonts w:ascii="Arial" w:hAnsi="Arial" w:cs="Arial"/>
              </w:rPr>
            </w:pPr>
            <w:r>
              <w:rPr>
                <w:rFonts w:ascii="Arial" w:hAnsi="Arial" w:cs="Arial"/>
              </w:rPr>
              <w:t xml:space="preserve">b.3) ter poderes expressos para receber citação e responder administrativa e judicialmente pelo consórcio; </w:t>
            </w:r>
          </w:p>
          <w:p w14:paraId="7CD994F4" w14:textId="77777777" w:rsidR="00434559" w:rsidRDefault="008F6152">
            <w:pPr>
              <w:widowControl w:val="0"/>
              <w:spacing w:before="120" w:after="120"/>
              <w:rPr>
                <w:rFonts w:ascii="Arial" w:hAnsi="Arial" w:cs="Arial"/>
              </w:rPr>
            </w:pPr>
            <w:r>
              <w:rPr>
                <w:rFonts w:ascii="Arial" w:hAnsi="Arial" w:cs="Arial"/>
              </w:rPr>
              <w:t xml:space="preserve">b.4) ter poderes expressos para representar o consórcio em todas as fases desta Licitação, podendo inclusive interpor e desistir de recursos, assinar contratos e praticar todos os atos necessários visando à perfeita execução de seu objeto, até a sua conclusão; </w:t>
            </w:r>
          </w:p>
          <w:p w14:paraId="423442EF" w14:textId="77777777" w:rsidR="00434559" w:rsidRDefault="008F6152">
            <w:pPr>
              <w:widowControl w:val="0"/>
              <w:tabs>
                <w:tab w:val="left" w:pos="8187"/>
              </w:tabs>
              <w:rPr>
                <w:rFonts w:ascii="Arial" w:hAnsi="Arial" w:cs="Arial"/>
              </w:rPr>
            </w:pPr>
            <w:r>
              <w:rPr>
                <w:rFonts w:ascii="Arial" w:hAnsi="Arial" w:cs="Arial"/>
              </w:rPr>
              <w:t>c) os previstos no item referente à Habilitação,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tc>
      </w:tr>
      <w:tr w:rsidR="00434559" w14:paraId="1E1EE0E7" w14:textId="77777777">
        <w:trPr>
          <w:trHeight w:val="1119"/>
        </w:trPr>
        <w:tc>
          <w:tcPr>
            <w:tcW w:w="1556" w:type="dxa"/>
            <w:tcBorders>
              <w:top w:val="single" w:sz="6" w:space="0" w:color="000000"/>
              <w:left w:val="single" w:sz="6" w:space="0" w:color="000000"/>
              <w:bottom w:val="single" w:sz="6" w:space="0" w:color="000000"/>
              <w:right w:val="single" w:sz="6" w:space="0" w:color="000000"/>
            </w:tcBorders>
          </w:tcPr>
          <w:p w14:paraId="04F9C69A" w14:textId="77777777" w:rsidR="00434559" w:rsidRDefault="008F6152">
            <w:pPr>
              <w:widowControl w:val="0"/>
              <w:rPr>
                <w:rFonts w:ascii="Arial" w:hAnsi="Arial" w:cs="Arial"/>
              </w:rPr>
            </w:pPr>
            <w:hyperlink r:id="rId14">
              <w:r>
                <w:rPr>
                  <w:rFonts w:ascii="Arial" w:hAnsi="Arial" w:cs="Arial"/>
                  <w:u w:val="single"/>
                </w:rPr>
                <w:t>CGL 4.1.4</w:t>
              </w:r>
            </w:hyperlink>
          </w:p>
        </w:tc>
        <w:tc>
          <w:tcPr>
            <w:tcW w:w="8958" w:type="dxa"/>
            <w:tcBorders>
              <w:top w:val="single" w:sz="6" w:space="0" w:color="000000"/>
              <w:left w:val="single" w:sz="6" w:space="0" w:color="000000"/>
              <w:bottom w:val="single" w:sz="6" w:space="0" w:color="000000"/>
              <w:right w:val="single" w:sz="6" w:space="0" w:color="000000"/>
            </w:tcBorders>
          </w:tcPr>
          <w:p w14:paraId="7D44C35B" w14:textId="77777777" w:rsidR="00434559" w:rsidRDefault="008F6152">
            <w:pPr>
              <w:widowControl w:val="0"/>
              <w:tabs>
                <w:tab w:val="left" w:pos="8187"/>
              </w:tabs>
              <w:rPr>
                <w:rFonts w:ascii="Arial" w:hAnsi="Arial" w:cs="Arial"/>
              </w:rPr>
            </w:pPr>
            <w:r>
              <w:rPr>
                <w:rFonts w:ascii="Arial" w:hAnsi="Arial" w:cs="Arial"/>
              </w:rPr>
              <w:t xml:space="preserve">[Não será permitida a participação de Cooperativa de Trabalho. </w:t>
            </w:r>
            <w:r>
              <w:rPr>
                <w:rFonts w:ascii="Arial" w:hAnsi="Arial" w:cs="Arial"/>
                <w:color w:val="FF0000"/>
              </w:rPr>
              <w:t>proibição deve ser justificada, com anuência da Assessoria Jurídica do Órgão Demandante]</w:t>
            </w:r>
          </w:p>
          <w:p w14:paraId="520769DA" w14:textId="77777777" w:rsidR="00434559" w:rsidRDefault="00434559">
            <w:pPr>
              <w:widowControl w:val="0"/>
              <w:tabs>
                <w:tab w:val="left" w:pos="8187"/>
              </w:tabs>
              <w:rPr>
                <w:rFonts w:ascii="Arial" w:hAnsi="Arial" w:cs="Arial"/>
              </w:rPr>
            </w:pPr>
          </w:p>
          <w:p w14:paraId="0174AA57" w14:textId="77777777" w:rsidR="00434559" w:rsidRDefault="008F6152">
            <w:pPr>
              <w:widowControl w:val="0"/>
              <w:tabs>
                <w:tab w:val="left" w:pos="8187"/>
              </w:tabs>
              <w:rPr>
                <w:rFonts w:ascii="Arial" w:hAnsi="Arial" w:cs="Arial"/>
              </w:rPr>
            </w:pPr>
            <w:r>
              <w:rPr>
                <w:rFonts w:ascii="Arial" w:hAnsi="Arial" w:cs="Arial"/>
              </w:rPr>
              <w:t>ou</w:t>
            </w:r>
          </w:p>
          <w:p w14:paraId="73B76C6C" w14:textId="77777777" w:rsidR="00434559" w:rsidRDefault="00434559">
            <w:pPr>
              <w:widowControl w:val="0"/>
              <w:tabs>
                <w:tab w:val="left" w:pos="8187"/>
              </w:tabs>
              <w:rPr>
                <w:rFonts w:ascii="Arial" w:hAnsi="Arial" w:cs="Arial"/>
              </w:rPr>
            </w:pPr>
          </w:p>
          <w:p w14:paraId="5EC75A81" w14:textId="77777777" w:rsidR="00434559" w:rsidRDefault="008F6152">
            <w:pPr>
              <w:widowControl w:val="0"/>
              <w:tabs>
                <w:tab w:val="left" w:pos="8187"/>
              </w:tabs>
              <w:rPr>
                <w:rFonts w:ascii="Arial" w:hAnsi="Arial" w:cs="Arial"/>
              </w:rPr>
            </w:pPr>
            <w:r>
              <w:rPr>
                <w:rFonts w:ascii="Arial" w:hAnsi="Arial" w:cs="Arial"/>
              </w:rPr>
              <w:t xml:space="preserve">[Será permitida a participação de Cooperativa de Trabalho. </w:t>
            </w:r>
          </w:p>
          <w:p w14:paraId="20E7E234" w14:textId="77777777" w:rsidR="00434559" w:rsidRDefault="008F6152">
            <w:pPr>
              <w:widowControl w:val="0"/>
              <w:tabs>
                <w:tab w:val="left" w:pos="8187"/>
              </w:tabs>
              <w:rPr>
                <w:rFonts w:ascii="Arial" w:hAnsi="Arial" w:cs="Arial"/>
              </w:rPr>
            </w:pPr>
            <w:r>
              <w:rPr>
                <w:rFonts w:ascii="Arial" w:hAnsi="Arial" w:cs="Arial"/>
              </w:rPr>
              <w:t xml:space="preserve">Para fins de habilitação, as Cooperativas de Trabalho deverão apresentar os seguintes documentos, em conjunto com aqueles previstos no item 13 deste Edital, no que couber: </w:t>
            </w:r>
          </w:p>
          <w:p w14:paraId="7ADDA879" w14:textId="77777777" w:rsidR="00434559" w:rsidRDefault="008F6152">
            <w:pPr>
              <w:widowControl w:val="0"/>
              <w:tabs>
                <w:tab w:val="left" w:pos="8187"/>
              </w:tabs>
              <w:rPr>
                <w:rFonts w:ascii="Arial" w:hAnsi="Arial" w:cs="Arial"/>
              </w:rPr>
            </w:pPr>
            <w:r>
              <w:rPr>
                <w:rFonts w:ascii="Arial" w:hAnsi="Arial" w:cs="Arial"/>
              </w:rPr>
              <w:t>a) ata de fundação;</w:t>
            </w:r>
          </w:p>
          <w:p w14:paraId="24952404" w14:textId="77777777" w:rsidR="00434559" w:rsidRDefault="008F6152">
            <w:pPr>
              <w:widowControl w:val="0"/>
              <w:tabs>
                <w:tab w:val="left" w:pos="8187"/>
              </w:tabs>
              <w:rPr>
                <w:rFonts w:ascii="Arial" w:hAnsi="Arial" w:cs="Arial"/>
              </w:rPr>
            </w:pPr>
            <w:r>
              <w:rPr>
                <w:rFonts w:ascii="Arial" w:hAnsi="Arial" w:cs="Arial"/>
              </w:rPr>
              <w:t>b) estatuto social com a ata da assembleia que o aprovou devidamente arquivado na Junta Comercial ou inscrito no Registro Civil das Pessoas Jurídicas da respectiva sede;</w:t>
            </w:r>
          </w:p>
          <w:p w14:paraId="08938340" w14:textId="77777777" w:rsidR="00434559" w:rsidRDefault="008F6152">
            <w:pPr>
              <w:widowControl w:val="0"/>
              <w:tabs>
                <w:tab w:val="left" w:pos="8187"/>
              </w:tabs>
              <w:rPr>
                <w:rFonts w:ascii="Arial" w:hAnsi="Arial" w:cs="Arial"/>
              </w:rPr>
            </w:pPr>
            <w:r>
              <w:rPr>
                <w:rFonts w:ascii="Arial" w:hAnsi="Arial" w:cs="Arial"/>
              </w:rPr>
              <w:t>c) registro previsto no art. 107 da Lei 5.764/1971.</w:t>
            </w:r>
          </w:p>
        </w:tc>
      </w:tr>
      <w:tr w:rsidR="00434559" w14:paraId="5FB32C7D" w14:textId="77777777">
        <w:trPr>
          <w:trHeight w:val="525"/>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1A6CFAB" w14:textId="77777777" w:rsidR="00434559" w:rsidRDefault="008F6152">
            <w:pPr>
              <w:widowControl w:val="0"/>
              <w:spacing w:line="252" w:lineRule="auto"/>
              <w:rPr>
                <w:rFonts w:ascii="Arial" w:hAnsi="Arial" w:cs="Arial"/>
              </w:rPr>
            </w:pPr>
            <w:r>
              <w:rPr>
                <w:rFonts w:ascii="Arial" w:hAnsi="Arial" w:cs="Arial"/>
              </w:rPr>
              <w:t>CGL 7.2.</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7798D1E" w14:textId="77777777" w:rsidR="00434559" w:rsidRDefault="008F6152">
            <w:pPr>
              <w:widowControl w:val="0"/>
              <w:spacing w:after="120"/>
              <w:rPr>
                <w:rFonts w:ascii="Arial" w:hAnsi="Arial" w:cs="Arial"/>
                <w:color w:val="000000" w:themeColor="text1"/>
                <w:u w:val="single"/>
              </w:rPr>
            </w:pPr>
            <w:r>
              <w:rPr>
                <w:rFonts w:ascii="Arial" w:hAnsi="Arial" w:cs="Arial"/>
                <w:color w:val="000000" w:themeColor="text1"/>
                <w:u w:val="single"/>
              </w:rPr>
              <w:t>A proposta terá prazo de validade de 60 (sessenta) dias.</w:t>
            </w:r>
          </w:p>
          <w:p w14:paraId="2D278201" w14:textId="77777777" w:rsidR="00434559" w:rsidRDefault="008F6152">
            <w:pPr>
              <w:widowControl w:val="0"/>
              <w:tabs>
                <w:tab w:val="left" w:pos="8187"/>
              </w:tabs>
              <w:rPr>
                <w:rFonts w:ascii="Arial" w:hAnsi="Arial" w:cs="Arial"/>
              </w:rPr>
            </w:pPr>
            <w:r>
              <w:rPr>
                <w:rFonts w:ascii="Arial" w:hAnsi="Arial" w:cs="Arial"/>
                <w:i/>
                <w:iCs/>
                <w:color w:val="000000" w:themeColor="text1"/>
                <w:u w:val="single"/>
              </w:rPr>
              <w:t>(mediante justificativa fundamentada, dadas as condições de fornecimento do bem, este prazo pode ser alterado)</w:t>
            </w:r>
          </w:p>
        </w:tc>
      </w:tr>
      <w:tr w:rsidR="00434559" w14:paraId="4F5BE37E" w14:textId="77777777">
        <w:trPr>
          <w:trHeight w:val="170"/>
        </w:trPr>
        <w:tc>
          <w:tcPr>
            <w:tcW w:w="1556" w:type="dxa"/>
            <w:tcBorders>
              <w:top w:val="single" w:sz="6" w:space="0" w:color="000000"/>
              <w:left w:val="single" w:sz="6" w:space="0" w:color="000000"/>
              <w:bottom w:val="single" w:sz="6" w:space="0" w:color="000000"/>
              <w:right w:val="single" w:sz="6" w:space="0" w:color="000000"/>
            </w:tcBorders>
          </w:tcPr>
          <w:p w14:paraId="77BEA63A" w14:textId="77777777" w:rsidR="00434559" w:rsidRDefault="008F6152">
            <w:pPr>
              <w:widowControl w:val="0"/>
              <w:spacing w:line="252" w:lineRule="auto"/>
              <w:rPr>
                <w:rFonts w:ascii="Arial" w:hAnsi="Arial" w:cs="Arial"/>
              </w:rPr>
            </w:pPr>
            <w:r>
              <w:rPr>
                <w:rFonts w:ascii="Arial" w:hAnsi="Arial" w:cs="Arial"/>
              </w:rPr>
              <w:t>CGL 7.12</w:t>
            </w:r>
          </w:p>
        </w:tc>
        <w:tc>
          <w:tcPr>
            <w:tcW w:w="8958" w:type="dxa"/>
            <w:tcBorders>
              <w:top w:val="single" w:sz="6" w:space="0" w:color="000000"/>
              <w:left w:val="single" w:sz="6" w:space="0" w:color="000000"/>
              <w:bottom w:val="single" w:sz="6" w:space="0" w:color="000000"/>
              <w:right w:val="single" w:sz="6" w:space="0" w:color="000000"/>
            </w:tcBorders>
          </w:tcPr>
          <w:p w14:paraId="67FBF1B5"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[7.12.1. Não será permitida a </w:t>
            </w:r>
            <w:r>
              <w:rPr>
                <w:rStyle w:val="findhit"/>
                <w:rFonts w:ascii="Arial" w:hAnsi="Arial" w:cs="Arial"/>
                <w:sz w:val="22"/>
                <w:szCs w:val="22"/>
              </w:rPr>
              <w:t>subcontra</w:t>
            </w:r>
            <w:r>
              <w:rPr>
                <w:rStyle w:val="normaltextrun"/>
                <w:rFonts w:ascii="Arial" w:hAnsi="Arial" w:cs="Arial"/>
                <w:sz w:val="22"/>
                <w:szCs w:val="22"/>
              </w:rPr>
              <w:t>tação] /</w:t>
            </w:r>
          </w:p>
          <w:p w14:paraId="4774A9A9"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[7.12.1. É permitida a </w:t>
            </w:r>
            <w:r>
              <w:rPr>
                <w:rStyle w:val="findhit"/>
                <w:rFonts w:ascii="Arial" w:hAnsi="Arial" w:cs="Arial"/>
                <w:sz w:val="22"/>
                <w:szCs w:val="22"/>
              </w:rPr>
              <w:t>subcontra</w:t>
            </w:r>
            <w:r>
              <w:rPr>
                <w:rStyle w:val="normaltextrun"/>
                <w:rFonts w:ascii="Arial" w:hAnsi="Arial" w:cs="Arial"/>
                <w:sz w:val="22"/>
                <w:szCs w:val="22"/>
              </w:rPr>
              <w:t>tação parcial do objeto no limite máximo de [</w:t>
            </w:r>
            <w:r>
              <w:rPr>
                <w:rStyle w:val="normaltextrun"/>
                <w:rFonts w:ascii="Arial" w:hAnsi="Arial" w:cs="Arial"/>
                <w:color w:val="FF0000"/>
                <w:sz w:val="22"/>
                <w:szCs w:val="22"/>
              </w:rPr>
              <w:t>XX</w:t>
            </w:r>
            <w:r>
              <w:rPr>
                <w:rStyle w:val="normaltextrun"/>
                <w:rFonts w:ascii="Arial" w:hAnsi="Arial" w:cs="Arial"/>
                <w:sz w:val="22"/>
                <w:szCs w:val="22"/>
              </w:rPr>
              <w:t>%] do valor total do contrato, atendidas as seguintes condições:]</w:t>
            </w:r>
          </w:p>
          <w:p w14:paraId="619D8A5D" w14:textId="77777777" w:rsidR="00434559" w:rsidRDefault="00434559">
            <w:pPr>
              <w:pStyle w:val="paragraph"/>
              <w:widowControl w:val="0"/>
              <w:spacing w:line="360" w:lineRule="auto"/>
              <w:jc w:val="both"/>
              <w:textAlignment w:val="baseline"/>
              <w:rPr>
                <w:rFonts w:ascii="Arial" w:hAnsi="Arial" w:cs="Arial"/>
                <w:color w:val="000000"/>
                <w:sz w:val="22"/>
                <w:szCs w:val="22"/>
              </w:rPr>
            </w:pPr>
          </w:p>
          <w:p w14:paraId="73D2070C"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i/>
                <w:iCs/>
                <w:sz w:val="22"/>
                <w:szCs w:val="22"/>
              </w:rPr>
              <w:t xml:space="preserve">NOTA 1: A Administração deverá indicar se a </w:t>
            </w:r>
            <w:r>
              <w:rPr>
                <w:rStyle w:val="findhit"/>
                <w:rFonts w:ascii="Arial" w:hAnsi="Arial" w:cs="Arial"/>
                <w:i/>
                <w:iCs/>
                <w:sz w:val="22"/>
                <w:szCs w:val="22"/>
              </w:rPr>
              <w:t>subcontra</w:t>
            </w:r>
            <w:r>
              <w:rPr>
                <w:rStyle w:val="normaltextrun"/>
                <w:rFonts w:ascii="Arial" w:hAnsi="Arial" w:cs="Arial"/>
                <w:i/>
                <w:iCs/>
                <w:sz w:val="22"/>
                <w:szCs w:val="22"/>
              </w:rPr>
              <w:t xml:space="preserve">tação será permitida ou não. Alerta-se que em diversos casos de inexigibilidade e de dispensa de licitação será vedada a </w:t>
            </w:r>
            <w:r>
              <w:rPr>
                <w:rStyle w:val="findhit"/>
                <w:rFonts w:ascii="Arial" w:hAnsi="Arial" w:cs="Arial"/>
                <w:i/>
                <w:iCs/>
                <w:sz w:val="22"/>
                <w:szCs w:val="22"/>
              </w:rPr>
              <w:t>subcontra</w:t>
            </w:r>
            <w:r>
              <w:rPr>
                <w:rStyle w:val="normaltextrun"/>
                <w:rFonts w:ascii="Arial" w:hAnsi="Arial" w:cs="Arial"/>
                <w:i/>
                <w:iCs/>
                <w:sz w:val="22"/>
                <w:szCs w:val="22"/>
              </w:rPr>
              <w:t>tação.</w:t>
            </w:r>
            <w:r>
              <w:rPr>
                <w:rStyle w:val="eop"/>
                <w:rFonts w:ascii="Arial" w:hAnsi="Arial" w:cs="Arial"/>
                <w:color w:val="000000"/>
                <w:sz w:val="22"/>
                <w:szCs w:val="22"/>
              </w:rPr>
              <w:t> </w:t>
            </w:r>
          </w:p>
          <w:p w14:paraId="5B653B76"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i/>
                <w:iCs/>
                <w:sz w:val="22"/>
                <w:szCs w:val="22"/>
              </w:rPr>
              <w:t xml:space="preserve">NOTA 2: Se a opção for por não permitir a </w:t>
            </w:r>
            <w:r>
              <w:rPr>
                <w:rStyle w:val="findhit"/>
                <w:rFonts w:ascii="Arial" w:hAnsi="Arial" w:cs="Arial"/>
                <w:i/>
                <w:iCs/>
                <w:sz w:val="22"/>
                <w:szCs w:val="22"/>
              </w:rPr>
              <w:t>subcontra</w:t>
            </w:r>
            <w:r>
              <w:rPr>
                <w:rStyle w:val="normaltextrun"/>
                <w:rFonts w:ascii="Arial" w:hAnsi="Arial" w:cs="Arial"/>
                <w:i/>
                <w:iCs/>
                <w:sz w:val="22"/>
                <w:szCs w:val="22"/>
              </w:rPr>
              <w:t>tação, deletar as demais cláusulas abaixo. Se a opção for por permitir, as cláusulas 7.12.1.1. a 7.12.1.6. devem ser mantidas.</w:t>
            </w:r>
            <w:r>
              <w:rPr>
                <w:rStyle w:val="eop"/>
                <w:rFonts w:ascii="Arial" w:hAnsi="Arial" w:cs="Arial"/>
                <w:color w:val="000000"/>
                <w:sz w:val="22"/>
                <w:szCs w:val="22"/>
              </w:rPr>
              <w:t> </w:t>
            </w:r>
          </w:p>
          <w:p w14:paraId="55A7117B"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i/>
                <w:iCs/>
                <w:sz w:val="22"/>
                <w:szCs w:val="22"/>
              </w:rPr>
              <w:t xml:space="preserve">NOTA 3: É vedada a exigência de </w:t>
            </w:r>
            <w:r>
              <w:rPr>
                <w:rStyle w:val="findhit"/>
                <w:rFonts w:ascii="Arial" w:hAnsi="Arial" w:cs="Arial"/>
                <w:i/>
                <w:iCs/>
                <w:sz w:val="22"/>
                <w:szCs w:val="22"/>
              </w:rPr>
              <w:t>subcontra</w:t>
            </w:r>
            <w:r>
              <w:rPr>
                <w:rStyle w:val="normaltextrun"/>
                <w:rFonts w:ascii="Arial" w:hAnsi="Arial" w:cs="Arial"/>
                <w:i/>
                <w:iCs/>
                <w:sz w:val="22"/>
                <w:szCs w:val="22"/>
              </w:rPr>
              <w:t xml:space="preserve">tação de itens ou parcelas determinadas ou de empresas específicas; bem como a </w:t>
            </w:r>
            <w:r>
              <w:rPr>
                <w:rStyle w:val="findhit"/>
                <w:rFonts w:ascii="Arial" w:hAnsi="Arial" w:cs="Arial"/>
                <w:i/>
                <w:iCs/>
                <w:sz w:val="22"/>
                <w:szCs w:val="22"/>
              </w:rPr>
              <w:t>subcontra</w:t>
            </w:r>
            <w:r>
              <w:rPr>
                <w:rStyle w:val="normaltextrun"/>
                <w:rFonts w:ascii="Arial" w:hAnsi="Arial" w:cs="Arial"/>
                <w:i/>
                <w:iCs/>
                <w:sz w:val="22"/>
                <w:szCs w:val="22"/>
              </w:rPr>
              <w:t>tação de parcelas de maior relevância técnica, assim definidas no instrumento convocatório.</w:t>
            </w:r>
            <w:r>
              <w:rPr>
                <w:rStyle w:val="eop"/>
                <w:rFonts w:ascii="Arial" w:hAnsi="Arial" w:cs="Arial"/>
                <w:color w:val="000000"/>
                <w:sz w:val="22"/>
                <w:szCs w:val="22"/>
              </w:rPr>
              <w:t> </w:t>
            </w:r>
          </w:p>
          <w:p w14:paraId="05567FF1"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eop"/>
                <w:rFonts w:ascii="Arial" w:hAnsi="Arial" w:cs="Arial"/>
                <w:color w:val="000000"/>
                <w:sz w:val="22"/>
                <w:szCs w:val="22"/>
              </w:rPr>
              <w:t> </w:t>
            </w:r>
          </w:p>
          <w:p w14:paraId="6276F560"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7.12.1.1. é vedada a sub-rogação;</w:t>
            </w:r>
            <w:r>
              <w:rPr>
                <w:rStyle w:val="eop"/>
                <w:rFonts w:ascii="Arial" w:hAnsi="Arial" w:cs="Arial"/>
                <w:color w:val="000000"/>
                <w:sz w:val="22"/>
                <w:szCs w:val="22"/>
              </w:rPr>
              <w:t> </w:t>
            </w:r>
          </w:p>
          <w:p w14:paraId="08B03FE4"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7.12.1.2. autorização prévia do Contratante, devendo a empresa indicada pelo licitante </w:t>
            </w:r>
            <w:r>
              <w:rPr>
                <w:rStyle w:val="normaltextrun"/>
                <w:rFonts w:ascii="Arial" w:hAnsi="Arial" w:cs="Arial"/>
                <w:sz w:val="22"/>
                <w:szCs w:val="22"/>
              </w:rPr>
              <w:lastRenderedPageBreak/>
              <w:t>contratado, antes do início da realização dos serviços e durante a vigência contratual, apresentar documentação que comprove sua habilitação jurídica, regularidade fiscal e trabalhista, bem como qualificação técnica necessária, nos termos previstos neste Edital;</w:t>
            </w:r>
            <w:r>
              <w:rPr>
                <w:rStyle w:val="eop"/>
                <w:rFonts w:ascii="Arial" w:hAnsi="Arial" w:cs="Arial"/>
                <w:color w:val="000000"/>
                <w:sz w:val="22"/>
                <w:szCs w:val="22"/>
              </w:rPr>
              <w:t> </w:t>
            </w:r>
          </w:p>
          <w:p w14:paraId="6C8FC366"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7.12.1.3 permanece a responsabilidade integral do Contratado pela perfeita execução contratual, bem como pela padronização, pela compatibilidade, pelo gerenciamento centralizado e pela qualidade da </w:t>
            </w:r>
            <w:r>
              <w:rPr>
                <w:rStyle w:val="findhit"/>
                <w:rFonts w:ascii="Arial" w:hAnsi="Arial" w:cs="Arial"/>
                <w:sz w:val="22"/>
                <w:szCs w:val="22"/>
              </w:rPr>
              <w:t>subcontra</w:t>
            </w:r>
            <w:r>
              <w:rPr>
                <w:rStyle w:val="normaltextrun"/>
                <w:rFonts w:ascii="Arial" w:hAnsi="Arial" w:cs="Arial"/>
                <w:sz w:val="22"/>
                <w:szCs w:val="22"/>
              </w:rPr>
              <w:t xml:space="preserve">tação, cabendo-lhe realizar a supervisão e coordenação das atividades do </w:t>
            </w:r>
            <w:r>
              <w:rPr>
                <w:rStyle w:val="findhit"/>
                <w:rFonts w:ascii="Arial" w:hAnsi="Arial" w:cs="Arial"/>
                <w:sz w:val="22"/>
                <w:szCs w:val="22"/>
              </w:rPr>
              <w:t>subcontra</w:t>
            </w:r>
            <w:r>
              <w:rPr>
                <w:rStyle w:val="normaltextrun"/>
                <w:rFonts w:ascii="Arial" w:hAnsi="Arial" w:cs="Arial"/>
                <w:sz w:val="22"/>
                <w:szCs w:val="22"/>
              </w:rPr>
              <w:t xml:space="preserve">tado, e responder perante o Contratante pelo rigoroso cumprimento das obrigações contratuais correspondentes ao objeto da </w:t>
            </w:r>
            <w:r>
              <w:rPr>
                <w:rStyle w:val="findhit"/>
                <w:rFonts w:ascii="Arial" w:hAnsi="Arial" w:cs="Arial"/>
                <w:sz w:val="22"/>
                <w:szCs w:val="22"/>
              </w:rPr>
              <w:t>subcontra</w:t>
            </w:r>
            <w:r>
              <w:rPr>
                <w:rStyle w:val="normaltextrun"/>
                <w:rFonts w:ascii="Arial" w:hAnsi="Arial" w:cs="Arial"/>
                <w:sz w:val="22"/>
                <w:szCs w:val="22"/>
              </w:rPr>
              <w:t>tação.</w:t>
            </w:r>
            <w:r>
              <w:rPr>
                <w:rStyle w:val="eop"/>
                <w:rFonts w:ascii="Arial" w:hAnsi="Arial" w:cs="Arial"/>
                <w:color w:val="000000"/>
                <w:sz w:val="22"/>
                <w:szCs w:val="22"/>
              </w:rPr>
              <w:t> </w:t>
            </w:r>
          </w:p>
          <w:p w14:paraId="62481B63" w14:textId="77777777" w:rsidR="00434559" w:rsidRDefault="008F6152">
            <w:pPr>
              <w:pStyle w:val="paragraph"/>
              <w:widowControl w:val="0"/>
              <w:spacing w:line="360" w:lineRule="auto"/>
              <w:jc w:val="both"/>
              <w:textAlignment w:val="baseline"/>
              <w:rPr>
                <w:rStyle w:val="normaltextrun"/>
                <w:rFonts w:ascii="Arial" w:hAnsi="Arial" w:cs="Arial"/>
                <w:sz w:val="22"/>
                <w:szCs w:val="22"/>
              </w:rPr>
            </w:pPr>
            <w:r>
              <w:rPr>
                <w:rStyle w:val="normaltextrun"/>
                <w:rFonts w:ascii="Arial" w:hAnsi="Arial" w:cs="Arial"/>
                <w:sz w:val="22"/>
                <w:szCs w:val="22"/>
              </w:rPr>
              <w:t>7.12.1.4. É vedada a subcontratação de microempresa e empresa de pequeno porte que tenha participado da licitação;  </w:t>
            </w:r>
          </w:p>
          <w:p w14:paraId="034F7E35" w14:textId="77777777" w:rsidR="00434559" w:rsidRDefault="008F6152">
            <w:pPr>
              <w:pStyle w:val="paragraph"/>
              <w:widowControl w:val="0"/>
              <w:spacing w:line="360" w:lineRule="auto"/>
              <w:jc w:val="both"/>
              <w:textAlignment w:val="baseline"/>
              <w:rPr>
                <w:rStyle w:val="normaltextrun"/>
                <w:rFonts w:ascii="Arial" w:hAnsi="Arial" w:cs="Arial"/>
                <w:sz w:val="22"/>
                <w:szCs w:val="22"/>
              </w:rPr>
            </w:pPr>
            <w:r>
              <w:rPr>
                <w:rStyle w:val="normaltextrun"/>
                <w:rFonts w:ascii="Arial" w:hAnsi="Arial" w:cs="Arial"/>
                <w:sz w:val="22"/>
                <w:szCs w:val="22"/>
              </w:rPr>
              <w:t>7.12.1.5.  É vedada a subcontratação de microempresa ou empresa de pequeno porte que tenham um ou mais sócios em comum com a empresa contratante; </w:t>
            </w:r>
          </w:p>
          <w:p w14:paraId="1BA9778C" w14:textId="77777777" w:rsidR="00434559" w:rsidRDefault="008F6152">
            <w:pPr>
              <w:widowControl w:val="0"/>
              <w:tabs>
                <w:tab w:val="left" w:pos="8187"/>
              </w:tabs>
              <w:rPr>
                <w:rFonts w:ascii="Arial" w:hAnsi="Arial" w:cs="Arial"/>
              </w:rPr>
            </w:pPr>
            <w:r>
              <w:rPr>
                <w:rStyle w:val="normaltextrun"/>
                <w:rFonts w:ascii="Arial" w:hAnsi="Arial" w:cs="Arial"/>
              </w:rPr>
              <w:t>7.12.1.6.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r>
              <w:rPr>
                <w:rStyle w:val="eop"/>
                <w:rFonts w:ascii="Arial" w:hAnsi="Arial" w:cs="Arial"/>
              </w:rPr>
              <w:t> </w:t>
            </w:r>
          </w:p>
        </w:tc>
      </w:tr>
      <w:tr w:rsidR="00434559" w14:paraId="304CF97C" w14:textId="77777777">
        <w:trPr>
          <w:trHeight w:val="3247"/>
        </w:trPr>
        <w:tc>
          <w:tcPr>
            <w:tcW w:w="1556" w:type="dxa"/>
            <w:tcBorders>
              <w:top w:val="single" w:sz="6" w:space="0" w:color="000000"/>
              <w:left w:val="single" w:sz="6" w:space="0" w:color="000000"/>
              <w:bottom w:val="single" w:sz="6" w:space="0" w:color="000000"/>
              <w:right w:val="single" w:sz="6" w:space="0" w:color="000000"/>
            </w:tcBorders>
          </w:tcPr>
          <w:p w14:paraId="13333B02" w14:textId="77777777" w:rsidR="00434559" w:rsidRDefault="008F6152">
            <w:pPr>
              <w:widowControl w:val="0"/>
              <w:spacing w:line="252" w:lineRule="auto"/>
              <w:rPr>
                <w:rFonts w:ascii="Arial" w:hAnsi="Arial" w:cs="Arial"/>
              </w:rPr>
            </w:pPr>
            <w:r>
              <w:rPr>
                <w:rFonts w:ascii="Arial" w:hAnsi="Arial" w:cs="Arial"/>
              </w:rPr>
              <w:lastRenderedPageBreak/>
              <w:t>CGL 7.13</w:t>
            </w:r>
          </w:p>
        </w:tc>
        <w:tc>
          <w:tcPr>
            <w:tcW w:w="8958" w:type="dxa"/>
            <w:tcBorders>
              <w:top w:val="single" w:sz="6" w:space="0" w:color="000000"/>
              <w:left w:val="single" w:sz="6" w:space="0" w:color="000000"/>
              <w:bottom w:val="single" w:sz="6" w:space="0" w:color="000000"/>
              <w:right w:val="single" w:sz="6" w:space="0" w:color="000000"/>
            </w:tcBorders>
          </w:tcPr>
          <w:p w14:paraId="2F6B7439"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[7.13.1. Não será exigida a </w:t>
            </w:r>
            <w:r>
              <w:rPr>
                <w:rStyle w:val="findhit"/>
                <w:rFonts w:ascii="Arial" w:hAnsi="Arial" w:cs="Arial"/>
                <w:sz w:val="22"/>
                <w:szCs w:val="22"/>
              </w:rPr>
              <w:t>subcontra</w:t>
            </w:r>
            <w:r>
              <w:rPr>
                <w:rStyle w:val="normaltextrun"/>
                <w:rFonts w:ascii="Arial" w:hAnsi="Arial" w:cs="Arial"/>
                <w:sz w:val="22"/>
                <w:szCs w:val="22"/>
              </w:rPr>
              <w:t>tação de Microempresas e Empresas de Pequeno Porte] /</w:t>
            </w:r>
          </w:p>
          <w:p w14:paraId="485686E6"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[7.13.1. Será exigida a </w:t>
            </w:r>
            <w:r>
              <w:rPr>
                <w:rStyle w:val="findhit"/>
                <w:rFonts w:ascii="Arial" w:hAnsi="Arial" w:cs="Arial"/>
                <w:sz w:val="22"/>
                <w:szCs w:val="22"/>
              </w:rPr>
              <w:t>subcontra</w:t>
            </w:r>
            <w:r>
              <w:rPr>
                <w:rStyle w:val="normaltextrun"/>
                <w:rFonts w:ascii="Arial" w:hAnsi="Arial" w:cs="Arial"/>
                <w:sz w:val="22"/>
                <w:szCs w:val="22"/>
              </w:rPr>
              <w:t>tação de Microempresas e Empresas de Pequeno Porte em parcela não inferior a [</w:t>
            </w:r>
            <w:proofErr w:type="gramStart"/>
            <w:r>
              <w:rPr>
                <w:rStyle w:val="normaltextrun"/>
                <w:rFonts w:ascii="Arial" w:hAnsi="Arial" w:cs="Arial"/>
                <w:sz w:val="22"/>
                <w:szCs w:val="22"/>
              </w:rPr>
              <w:t>XX ]</w:t>
            </w:r>
            <w:proofErr w:type="gramEnd"/>
            <w:r>
              <w:rPr>
                <w:rStyle w:val="normaltextrun"/>
                <w:rFonts w:ascii="Arial" w:hAnsi="Arial" w:cs="Arial"/>
                <w:sz w:val="22"/>
                <w:szCs w:val="22"/>
              </w:rPr>
              <w:t>% do valor do contrato, atendidas as seguintes condições:]</w:t>
            </w:r>
            <w:r>
              <w:rPr>
                <w:rStyle w:val="eop"/>
                <w:rFonts w:ascii="Arial" w:hAnsi="Arial" w:cs="Arial"/>
                <w:color w:val="000000"/>
                <w:sz w:val="22"/>
                <w:szCs w:val="22"/>
              </w:rPr>
              <w:t> </w:t>
            </w:r>
          </w:p>
          <w:p w14:paraId="3A81F761"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eop"/>
                <w:rFonts w:ascii="Arial" w:hAnsi="Arial" w:cs="Arial"/>
                <w:color w:val="000000"/>
                <w:sz w:val="22"/>
                <w:szCs w:val="22"/>
              </w:rPr>
              <w:t> </w:t>
            </w:r>
          </w:p>
          <w:p w14:paraId="26FC0534"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i/>
                <w:iCs/>
                <w:sz w:val="22"/>
                <w:szCs w:val="22"/>
              </w:rPr>
              <w:t xml:space="preserve">NOTA 1: A Administração deverá indicar se será ou não será exigida a </w:t>
            </w:r>
            <w:r>
              <w:rPr>
                <w:rStyle w:val="findhit"/>
                <w:rFonts w:ascii="Arial" w:hAnsi="Arial" w:cs="Arial"/>
                <w:i/>
                <w:iCs/>
                <w:sz w:val="22"/>
                <w:szCs w:val="22"/>
              </w:rPr>
              <w:t>subcontra</w:t>
            </w:r>
            <w:r>
              <w:rPr>
                <w:rStyle w:val="normaltextrun"/>
                <w:rFonts w:ascii="Arial" w:hAnsi="Arial" w:cs="Arial"/>
                <w:i/>
                <w:iCs/>
                <w:sz w:val="22"/>
                <w:szCs w:val="22"/>
              </w:rPr>
              <w:t xml:space="preserve">tação de </w:t>
            </w:r>
            <w:proofErr w:type="spellStart"/>
            <w:r>
              <w:rPr>
                <w:rStyle w:val="normaltextrun"/>
                <w:rFonts w:ascii="Arial" w:hAnsi="Arial" w:cs="Arial"/>
                <w:i/>
                <w:iCs/>
                <w:sz w:val="22"/>
                <w:szCs w:val="22"/>
              </w:rPr>
              <w:t>MEs</w:t>
            </w:r>
            <w:proofErr w:type="spellEnd"/>
            <w:r>
              <w:rPr>
                <w:rStyle w:val="normaltextrun"/>
                <w:rFonts w:ascii="Arial" w:hAnsi="Arial" w:cs="Arial"/>
                <w:i/>
                <w:iCs/>
                <w:sz w:val="22"/>
                <w:szCs w:val="22"/>
              </w:rPr>
              <w:t xml:space="preserve"> e </w:t>
            </w:r>
            <w:proofErr w:type="spellStart"/>
            <w:r>
              <w:rPr>
                <w:rStyle w:val="normaltextrun"/>
                <w:rFonts w:ascii="Arial" w:hAnsi="Arial" w:cs="Arial"/>
                <w:i/>
                <w:iCs/>
                <w:sz w:val="22"/>
                <w:szCs w:val="22"/>
              </w:rPr>
              <w:t>EPPs</w:t>
            </w:r>
            <w:proofErr w:type="spellEnd"/>
            <w:r>
              <w:rPr>
                <w:rStyle w:val="normaltextrun"/>
                <w:rFonts w:ascii="Arial" w:hAnsi="Arial" w:cs="Arial"/>
                <w:i/>
                <w:iCs/>
                <w:sz w:val="22"/>
                <w:szCs w:val="22"/>
              </w:rPr>
              <w:t>.</w:t>
            </w:r>
            <w:r>
              <w:rPr>
                <w:rStyle w:val="eop"/>
                <w:rFonts w:ascii="Arial" w:hAnsi="Arial" w:cs="Arial"/>
                <w:color w:val="000000"/>
                <w:sz w:val="22"/>
                <w:szCs w:val="22"/>
              </w:rPr>
              <w:t> </w:t>
            </w:r>
          </w:p>
          <w:p w14:paraId="2D6061E0"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i/>
                <w:iCs/>
                <w:sz w:val="22"/>
                <w:szCs w:val="22"/>
              </w:rPr>
              <w:t xml:space="preserve">NOTA 2: Se a opção for por não exigir a </w:t>
            </w:r>
            <w:r>
              <w:rPr>
                <w:rStyle w:val="findhit"/>
                <w:rFonts w:ascii="Arial" w:hAnsi="Arial" w:cs="Arial"/>
                <w:i/>
                <w:iCs/>
                <w:sz w:val="22"/>
                <w:szCs w:val="22"/>
              </w:rPr>
              <w:t>subcontra</w:t>
            </w:r>
            <w:r>
              <w:rPr>
                <w:rStyle w:val="normaltextrun"/>
                <w:rFonts w:ascii="Arial" w:hAnsi="Arial" w:cs="Arial"/>
                <w:i/>
                <w:iCs/>
                <w:sz w:val="22"/>
                <w:szCs w:val="22"/>
              </w:rPr>
              <w:t>tação, deletar as demais cláusulas abaixo. Se a opção for por permitir, as cláusulas 7.13.1.1. a 7.13.5. devem ser mantidas.</w:t>
            </w:r>
            <w:r>
              <w:rPr>
                <w:rStyle w:val="eop"/>
                <w:rFonts w:ascii="Arial" w:hAnsi="Arial" w:cs="Arial"/>
                <w:color w:val="000000"/>
                <w:sz w:val="22"/>
                <w:szCs w:val="22"/>
              </w:rPr>
              <w:t> </w:t>
            </w:r>
          </w:p>
          <w:p w14:paraId="65979AE0"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i/>
                <w:iCs/>
                <w:sz w:val="22"/>
                <w:szCs w:val="22"/>
              </w:rPr>
              <w:t xml:space="preserve">NOTA 3: Caso exigida a </w:t>
            </w:r>
            <w:r>
              <w:rPr>
                <w:rStyle w:val="findhit"/>
                <w:rFonts w:ascii="Arial" w:hAnsi="Arial" w:cs="Arial"/>
                <w:i/>
                <w:iCs/>
                <w:sz w:val="22"/>
                <w:szCs w:val="22"/>
              </w:rPr>
              <w:t>subcontra</w:t>
            </w:r>
            <w:r>
              <w:rPr>
                <w:rStyle w:val="normaltextrun"/>
                <w:rFonts w:ascii="Arial" w:hAnsi="Arial" w:cs="Arial"/>
                <w:i/>
                <w:iCs/>
                <w:sz w:val="22"/>
                <w:szCs w:val="22"/>
              </w:rPr>
              <w:t xml:space="preserve">tação de </w:t>
            </w:r>
            <w:proofErr w:type="spellStart"/>
            <w:r>
              <w:rPr>
                <w:rStyle w:val="normaltextrun"/>
                <w:rFonts w:ascii="Arial" w:hAnsi="Arial" w:cs="Arial"/>
                <w:i/>
                <w:iCs/>
                <w:sz w:val="22"/>
                <w:szCs w:val="22"/>
              </w:rPr>
              <w:t>MEs</w:t>
            </w:r>
            <w:proofErr w:type="spellEnd"/>
            <w:r>
              <w:rPr>
                <w:rStyle w:val="normaltextrun"/>
                <w:rFonts w:ascii="Arial" w:hAnsi="Arial" w:cs="Arial"/>
                <w:i/>
                <w:iCs/>
                <w:sz w:val="22"/>
                <w:szCs w:val="22"/>
              </w:rPr>
              <w:t xml:space="preserve"> e </w:t>
            </w:r>
            <w:proofErr w:type="spellStart"/>
            <w:r>
              <w:rPr>
                <w:rStyle w:val="normaltextrun"/>
                <w:rFonts w:ascii="Arial" w:hAnsi="Arial" w:cs="Arial"/>
                <w:i/>
                <w:iCs/>
                <w:sz w:val="22"/>
                <w:szCs w:val="22"/>
              </w:rPr>
              <w:t>EPPs</w:t>
            </w:r>
            <w:proofErr w:type="spellEnd"/>
            <w:r>
              <w:rPr>
                <w:rStyle w:val="normaltextrun"/>
                <w:rFonts w:ascii="Arial" w:hAnsi="Arial" w:cs="Arial"/>
                <w:i/>
                <w:iCs/>
                <w:sz w:val="22"/>
                <w:szCs w:val="22"/>
              </w:rPr>
              <w:t xml:space="preserve">, na forma do art. 48, II, da Lei </w:t>
            </w:r>
            <w:r>
              <w:rPr>
                <w:rStyle w:val="normaltextrun"/>
                <w:rFonts w:ascii="Arial" w:hAnsi="Arial" w:cs="Arial"/>
                <w:i/>
                <w:iCs/>
                <w:sz w:val="22"/>
                <w:szCs w:val="22"/>
              </w:rPr>
              <w:lastRenderedPageBreak/>
              <w:t>Complementar Federal 123/2006, o percentual exigido a ser indicado no item 7.13.1. deve ficar limitado a 30%, conforme art. 8º, I, da Lei 13.706/2011.</w:t>
            </w:r>
            <w:r>
              <w:rPr>
                <w:rStyle w:val="eop"/>
                <w:rFonts w:ascii="Arial" w:hAnsi="Arial" w:cs="Arial"/>
                <w:color w:val="000000"/>
                <w:sz w:val="22"/>
                <w:szCs w:val="22"/>
              </w:rPr>
              <w:t> </w:t>
            </w:r>
          </w:p>
          <w:p w14:paraId="041D6EAD"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i/>
                <w:iCs/>
                <w:sz w:val="22"/>
                <w:szCs w:val="22"/>
              </w:rPr>
              <w:t xml:space="preserve">NOTA 4: É vedada a exigência de </w:t>
            </w:r>
            <w:r>
              <w:rPr>
                <w:rStyle w:val="findhit"/>
                <w:rFonts w:ascii="Arial" w:hAnsi="Arial" w:cs="Arial"/>
                <w:i/>
                <w:iCs/>
                <w:sz w:val="22"/>
                <w:szCs w:val="22"/>
              </w:rPr>
              <w:t>subcontra</w:t>
            </w:r>
            <w:r>
              <w:rPr>
                <w:rStyle w:val="normaltextrun"/>
                <w:rFonts w:ascii="Arial" w:hAnsi="Arial" w:cs="Arial"/>
                <w:i/>
                <w:iCs/>
                <w:sz w:val="22"/>
                <w:szCs w:val="22"/>
              </w:rPr>
              <w:t xml:space="preserve">tação de itens ou parcelas determinadas ou de empresas específicas; bem como a </w:t>
            </w:r>
            <w:r>
              <w:rPr>
                <w:rStyle w:val="findhit"/>
                <w:rFonts w:ascii="Arial" w:hAnsi="Arial" w:cs="Arial"/>
                <w:i/>
                <w:iCs/>
                <w:sz w:val="22"/>
                <w:szCs w:val="22"/>
              </w:rPr>
              <w:t>subcontra</w:t>
            </w:r>
            <w:r>
              <w:rPr>
                <w:rStyle w:val="normaltextrun"/>
                <w:rFonts w:ascii="Arial" w:hAnsi="Arial" w:cs="Arial"/>
                <w:i/>
                <w:iCs/>
                <w:sz w:val="22"/>
                <w:szCs w:val="22"/>
              </w:rPr>
              <w:t>tação de parcelas de maior relevância técnica, assim definidas no instrumento convocatório.</w:t>
            </w:r>
            <w:r>
              <w:rPr>
                <w:rStyle w:val="eop"/>
                <w:rFonts w:ascii="Arial" w:hAnsi="Arial" w:cs="Arial"/>
                <w:color w:val="000000"/>
                <w:sz w:val="22"/>
                <w:szCs w:val="22"/>
              </w:rPr>
              <w:t> </w:t>
            </w:r>
          </w:p>
          <w:p w14:paraId="782B9A84"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eop"/>
                <w:rFonts w:ascii="Arial" w:hAnsi="Arial" w:cs="Arial"/>
                <w:color w:val="000000"/>
                <w:sz w:val="22"/>
                <w:szCs w:val="22"/>
              </w:rPr>
              <w:t> </w:t>
            </w:r>
          </w:p>
          <w:p w14:paraId="3BD3B895"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7.13.1.1. é vedada a sub-rogação;</w:t>
            </w:r>
            <w:r>
              <w:rPr>
                <w:rStyle w:val="eop"/>
                <w:rFonts w:ascii="Arial" w:hAnsi="Arial" w:cs="Arial"/>
                <w:color w:val="000000"/>
                <w:sz w:val="22"/>
                <w:szCs w:val="22"/>
              </w:rPr>
              <w:t> </w:t>
            </w:r>
          </w:p>
          <w:p w14:paraId="445D0512"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7.13.1.2.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w:t>
            </w:r>
            <w:r>
              <w:rPr>
                <w:rStyle w:val="eop"/>
                <w:rFonts w:ascii="Arial" w:hAnsi="Arial" w:cs="Arial"/>
                <w:color w:val="000000"/>
                <w:sz w:val="22"/>
                <w:szCs w:val="22"/>
              </w:rPr>
              <w:t> </w:t>
            </w:r>
          </w:p>
          <w:p w14:paraId="3F984E51"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7.13.1.3. permanece a responsabilidade integral do Contratado pela perfeita execução contratual, bem como pela padronização, pela compatibilidade, pelo gerenciamento centralizado e pela qualidade da </w:t>
            </w:r>
            <w:r>
              <w:rPr>
                <w:rStyle w:val="findhit"/>
                <w:rFonts w:ascii="Arial" w:hAnsi="Arial" w:cs="Arial"/>
                <w:sz w:val="22"/>
                <w:szCs w:val="22"/>
              </w:rPr>
              <w:t>subcontra</w:t>
            </w:r>
            <w:r>
              <w:rPr>
                <w:rStyle w:val="normaltextrun"/>
                <w:rFonts w:ascii="Arial" w:hAnsi="Arial" w:cs="Arial"/>
                <w:sz w:val="22"/>
                <w:szCs w:val="22"/>
              </w:rPr>
              <w:t xml:space="preserve">tação, cabendo-lhe realizar a supervisão e coordenação das atividades do </w:t>
            </w:r>
            <w:r>
              <w:rPr>
                <w:rStyle w:val="findhit"/>
                <w:rFonts w:ascii="Arial" w:hAnsi="Arial" w:cs="Arial"/>
                <w:sz w:val="22"/>
                <w:szCs w:val="22"/>
              </w:rPr>
              <w:t>subcontra</w:t>
            </w:r>
            <w:r>
              <w:rPr>
                <w:rStyle w:val="normaltextrun"/>
                <w:rFonts w:ascii="Arial" w:hAnsi="Arial" w:cs="Arial"/>
                <w:sz w:val="22"/>
                <w:szCs w:val="22"/>
              </w:rPr>
              <w:t xml:space="preserve">tado, e responder perante o Contratante pelo rigoroso cumprimento das obrigações contratuais correspondentes ao objeto da </w:t>
            </w:r>
            <w:r>
              <w:rPr>
                <w:rStyle w:val="findhit"/>
                <w:rFonts w:ascii="Arial" w:hAnsi="Arial" w:cs="Arial"/>
                <w:sz w:val="22"/>
                <w:szCs w:val="22"/>
              </w:rPr>
              <w:t>subcontra</w:t>
            </w:r>
            <w:r>
              <w:rPr>
                <w:rStyle w:val="normaltextrun"/>
                <w:rFonts w:ascii="Arial" w:hAnsi="Arial" w:cs="Arial"/>
                <w:sz w:val="22"/>
                <w:szCs w:val="22"/>
              </w:rPr>
              <w:t>tação.</w:t>
            </w:r>
            <w:r>
              <w:rPr>
                <w:rStyle w:val="eop"/>
                <w:rFonts w:ascii="Arial" w:hAnsi="Arial" w:cs="Arial"/>
                <w:color w:val="000000"/>
                <w:sz w:val="22"/>
                <w:szCs w:val="22"/>
              </w:rPr>
              <w:t> </w:t>
            </w:r>
          </w:p>
          <w:p w14:paraId="51015DE7"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7.13.1.4. É vedada a </w:t>
            </w:r>
            <w:r>
              <w:rPr>
                <w:rStyle w:val="findhit"/>
                <w:rFonts w:ascii="Arial" w:hAnsi="Arial" w:cs="Arial"/>
                <w:sz w:val="22"/>
                <w:szCs w:val="22"/>
              </w:rPr>
              <w:t>subcontra</w:t>
            </w:r>
            <w:r>
              <w:rPr>
                <w:rStyle w:val="normaltextrun"/>
                <w:rFonts w:ascii="Arial" w:hAnsi="Arial" w:cs="Arial"/>
                <w:sz w:val="22"/>
                <w:szCs w:val="22"/>
              </w:rPr>
              <w:t>tação de microempresas e empresas de pequeno porte que estejam participando da licitação; </w:t>
            </w:r>
            <w:r>
              <w:rPr>
                <w:rStyle w:val="eop"/>
                <w:rFonts w:ascii="Arial" w:hAnsi="Arial" w:cs="Arial"/>
                <w:color w:val="000000"/>
                <w:sz w:val="22"/>
                <w:szCs w:val="22"/>
              </w:rPr>
              <w:t> </w:t>
            </w:r>
          </w:p>
          <w:p w14:paraId="3C7C5703"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7.13.1.5. É vedada a </w:t>
            </w:r>
            <w:r>
              <w:rPr>
                <w:rStyle w:val="findhit"/>
                <w:rFonts w:ascii="Arial" w:hAnsi="Arial" w:cs="Arial"/>
                <w:sz w:val="22"/>
                <w:szCs w:val="22"/>
              </w:rPr>
              <w:t>subcontra</w:t>
            </w:r>
            <w:r>
              <w:rPr>
                <w:rStyle w:val="normaltextrun"/>
                <w:rFonts w:ascii="Arial" w:hAnsi="Arial" w:cs="Arial"/>
                <w:sz w:val="22"/>
                <w:szCs w:val="22"/>
              </w:rPr>
              <w:t>tação de microempresas ou empresas de pequeno porte que tenham um ou mais sócios em comum com a empresa contratante;</w:t>
            </w:r>
            <w:r>
              <w:rPr>
                <w:rStyle w:val="eop"/>
                <w:rFonts w:ascii="Arial" w:hAnsi="Arial" w:cs="Arial"/>
                <w:color w:val="000000"/>
                <w:sz w:val="22"/>
                <w:szCs w:val="22"/>
              </w:rPr>
              <w:t> </w:t>
            </w:r>
          </w:p>
          <w:p w14:paraId="0922DDBE"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7.13.1.6. É vedada a </w:t>
            </w:r>
            <w:r>
              <w:rPr>
                <w:rStyle w:val="findhit"/>
                <w:rFonts w:ascii="Arial" w:hAnsi="Arial" w:cs="Arial"/>
                <w:sz w:val="22"/>
                <w:szCs w:val="22"/>
              </w:rPr>
              <w:t>subcontra</w:t>
            </w:r>
            <w:r>
              <w:rPr>
                <w:rStyle w:val="normaltextrun"/>
                <w:rFonts w:ascii="Arial" w:hAnsi="Arial" w:cs="Arial"/>
                <w:sz w:val="22"/>
                <w:szCs w:val="22"/>
              </w:rPr>
              <w:t>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r>
              <w:rPr>
                <w:rStyle w:val="eop"/>
                <w:rFonts w:ascii="Arial" w:hAnsi="Arial" w:cs="Arial"/>
                <w:color w:val="000000"/>
                <w:sz w:val="22"/>
                <w:szCs w:val="22"/>
              </w:rPr>
              <w:t> </w:t>
            </w:r>
          </w:p>
          <w:p w14:paraId="19A178B9"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7.13.2. A exigência de </w:t>
            </w:r>
            <w:r>
              <w:rPr>
                <w:rStyle w:val="findhit"/>
                <w:rFonts w:ascii="Arial" w:hAnsi="Arial" w:cs="Arial"/>
                <w:sz w:val="22"/>
                <w:szCs w:val="22"/>
              </w:rPr>
              <w:t>subcontra</w:t>
            </w:r>
            <w:r>
              <w:rPr>
                <w:rStyle w:val="normaltextrun"/>
                <w:rFonts w:ascii="Arial" w:hAnsi="Arial" w:cs="Arial"/>
                <w:sz w:val="22"/>
                <w:szCs w:val="22"/>
              </w:rPr>
              <w:t xml:space="preserve">tação a que se refere o item 7.13.1. não será aplicável </w:t>
            </w:r>
            <w:r>
              <w:rPr>
                <w:rStyle w:val="normaltextrun"/>
                <w:rFonts w:ascii="Arial" w:hAnsi="Arial" w:cs="Arial"/>
                <w:sz w:val="22"/>
                <w:szCs w:val="22"/>
              </w:rPr>
              <w:lastRenderedPageBreak/>
              <w:t>quando o licitante for:</w:t>
            </w:r>
            <w:r>
              <w:rPr>
                <w:rStyle w:val="eop"/>
                <w:rFonts w:ascii="Arial" w:hAnsi="Arial" w:cs="Arial"/>
                <w:color w:val="000000"/>
                <w:sz w:val="22"/>
                <w:szCs w:val="22"/>
              </w:rPr>
              <w:t> </w:t>
            </w:r>
          </w:p>
          <w:p w14:paraId="62A11B9C"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7.13.4.1. microempresa ou empresa de pequeno porte;</w:t>
            </w:r>
            <w:r>
              <w:rPr>
                <w:rStyle w:val="eop"/>
                <w:rFonts w:ascii="Arial" w:hAnsi="Arial" w:cs="Arial"/>
                <w:color w:val="000000"/>
                <w:sz w:val="22"/>
                <w:szCs w:val="22"/>
              </w:rPr>
              <w:t> </w:t>
            </w:r>
          </w:p>
          <w:p w14:paraId="59AD17AC"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7.13.4.2. consórcio composto em sua totalidade por microempresas e empresas de pequeno porte, respeitado o disposto no art. 15 da Lei federal nº 14.133, de 2021; e</w:t>
            </w:r>
            <w:r>
              <w:rPr>
                <w:rStyle w:val="eop"/>
                <w:rFonts w:ascii="Arial" w:hAnsi="Arial" w:cs="Arial"/>
                <w:color w:val="000000"/>
                <w:sz w:val="22"/>
                <w:szCs w:val="22"/>
              </w:rPr>
              <w:t> </w:t>
            </w:r>
          </w:p>
          <w:p w14:paraId="6071FFD1"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 xml:space="preserve">7.13.4.3. consórcio composto parcialmente por microempresas ou empresas de pequeno porte com participação igual ou superior ao percentual exigido de </w:t>
            </w:r>
            <w:r>
              <w:rPr>
                <w:rStyle w:val="findhit"/>
                <w:rFonts w:ascii="Arial" w:hAnsi="Arial" w:cs="Arial"/>
                <w:sz w:val="22"/>
                <w:szCs w:val="22"/>
              </w:rPr>
              <w:t>subcontra</w:t>
            </w:r>
            <w:r>
              <w:rPr>
                <w:rStyle w:val="normaltextrun"/>
                <w:rFonts w:ascii="Arial" w:hAnsi="Arial" w:cs="Arial"/>
                <w:sz w:val="22"/>
                <w:szCs w:val="22"/>
              </w:rPr>
              <w:t>tação. </w:t>
            </w:r>
            <w:r>
              <w:rPr>
                <w:rStyle w:val="eop"/>
                <w:rFonts w:ascii="Arial" w:hAnsi="Arial" w:cs="Arial"/>
                <w:color w:val="000000"/>
                <w:sz w:val="22"/>
                <w:szCs w:val="22"/>
              </w:rPr>
              <w:t> </w:t>
            </w:r>
          </w:p>
          <w:p w14:paraId="106FE911" w14:textId="77777777" w:rsidR="00434559" w:rsidRDefault="008F6152">
            <w:pPr>
              <w:pStyle w:val="paragraph"/>
              <w:widowControl w:val="0"/>
              <w:spacing w:line="360" w:lineRule="auto"/>
              <w:jc w:val="both"/>
              <w:textAlignment w:val="baseline"/>
              <w:rPr>
                <w:rFonts w:ascii="Arial" w:hAnsi="Arial" w:cs="Arial"/>
                <w:color w:val="000000"/>
                <w:sz w:val="22"/>
                <w:szCs w:val="22"/>
              </w:rPr>
            </w:pPr>
            <w:r>
              <w:rPr>
                <w:rStyle w:val="normaltextrun"/>
                <w:rFonts w:ascii="Arial" w:hAnsi="Arial" w:cs="Arial"/>
                <w:sz w:val="22"/>
                <w:szCs w:val="22"/>
              </w:rPr>
              <w:t>7.13.5. O disposto no item 7.13.2 deverá ser comprovado no momento da habilitação, sob pena de inabilitação. </w:t>
            </w:r>
            <w:r>
              <w:rPr>
                <w:rStyle w:val="eop"/>
                <w:rFonts w:ascii="Arial" w:hAnsi="Arial" w:cs="Arial"/>
                <w:color w:val="000000"/>
                <w:sz w:val="22"/>
                <w:szCs w:val="22"/>
              </w:rPr>
              <w:t> </w:t>
            </w:r>
          </w:p>
        </w:tc>
      </w:tr>
      <w:tr w:rsidR="00434559" w14:paraId="38D4433B" w14:textId="77777777">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40BC864" w14:textId="77777777" w:rsidR="00434559" w:rsidRDefault="008F6152">
            <w:pPr>
              <w:widowControl w:val="0"/>
              <w:spacing w:line="252" w:lineRule="auto"/>
              <w:rPr>
                <w:rFonts w:ascii="Arial" w:hAnsi="Arial" w:cs="Arial"/>
              </w:rPr>
            </w:pPr>
            <w:r>
              <w:rPr>
                <w:rFonts w:ascii="Arial" w:hAnsi="Arial" w:cs="Arial"/>
              </w:rPr>
              <w:lastRenderedPageBreak/>
              <w:t>CGL 10.3</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3135C9A" w14:textId="77777777" w:rsidR="00434559" w:rsidRDefault="008F6152">
            <w:pPr>
              <w:widowControl w:val="0"/>
              <w:tabs>
                <w:tab w:val="left" w:pos="8187"/>
              </w:tabs>
              <w:rPr>
                <w:rFonts w:ascii="Arial" w:hAnsi="Arial" w:cs="Arial"/>
              </w:rPr>
            </w:pPr>
            <w:r>
              <w:rPr>
                <w:rFonts w:ascii="Arial" w:hAnsi="Arial" w:cs="Arial"/>
              </w:rPr>
              <w:t xml:space="preserve">Critério de Julgamento: [MENOR </w:t>
            </w:r>
            <w:proofErr w:type="gramStart"/>
            <w:r>
              <w:rPr>
                <w:rFonts w:ascii="Arial" w:hAnsi="Arial" w:cs="Arial"/>
              </w:rPr>
              <w:t>PREÇO]/</w:t>
            </w:r>
            <w:proofErr w:type="gramEnd"/>
            <w:r>
              <w:rPr>
                <w:rFonts w:ascii="Arial" w:hAnsi="Arial" w:cs="Arial"/>
              </w:rPr>
              <w:t>[MAIOR TAXA DE DESCONTO]</w:t>
            </w:r>
          </w:p>
        </w:tc>
      </w:tr>
      <w:tr w:rsidR="00434559" w14:paraId="6468B77E" w14:textId="77777777">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240C9E" w14:textId="77777777" w:rsidR="00434559" w:rsidRDefault="008F6152">
            <w:pPr>
              <w:widowControl w:val="0"/>
              <w:tabs>
                <w:tab w:val="left" w:pos="1560"/>
              </w:tabs>
              <w:spacing w:line="252" w:lineRule="auto"/>
              <w:rPr>
                <w:rFonts w:ascii="Arial" w:hAnsi="Arial" w:cs="Arial"/>
              </w:rPr>
            </w:pPr>
            <w:r>
              <w:rPr>
                <w:rFonts w:ascii="Arial" w:hAnsi="Arial" w:cs="Arial"/>
              </w:rPr>
              <w:t>CGL 10.5.1</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C04EF99" w14:textId="77777777" w:rsidR="00434559" w:rsidRDefault="008F6152">
            <w:pPr>
              <w:widowControl w:val="0"/>
              <w:tabs>
                <w:tab w:val="left" w:pos="8187"/>
              </w:tabs>
              <w:rPr>
                <w:rFonts w:ascii="Arial" w:hAnsi="Arial" w:cs="Arial"/>
              </w:rPr>
            </w:pPr>
            <w:r>
              <w:rPr>
                <w:rFonts w:ascii="Arial" w:hAnsi="Arial" w:cs="Arial"/>
                <w:bCs/>
              </w:rPr>
              <w:t>Decremento mínimo:</w:t>
            </w:r>
            <w:r>
              <w:rPr>
                <w:rFonts w:ascii="Arial" w:hAnsi="Arial" w:cs="Arial"/>
              </w:rPr>
              <w:t xml:space="preserve"> </w:t>
            </w:r>
            <w:r>
              <w:t>0,01%</w:t>
            </w:r>
          </w:p>
        </w:tc>
      </w:tr>
      <w:tr w:rsidR="00434559" w14:paraId="49D09846" w14:textId="77777777">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05440CE" w14:textId="77777777" w:rsidR="00434559" w:rsidRDefault="008F6152">
            <w:pPr>
              <w:widowControl w:val="0"/>
              <w:spacing w:line="252" w:lineRule="auto"/>
              <w:rPr>
                <w:rFonts w:ascii="Arial" w:hAnsi="Arial" w:cs="Arial"/>
              </w:rPr>
            </w:pPr>
            <w:hyperlink r:id="rId15">
              <w:r>
                <w:rPr>
                  <w:rFonts w:ascii="Arial" w:hAnsi="Arial" w:cs="Arial"/>
                  <w:u w:val="single"/>
                </w:rPr>
                <w:t>CGL 12.6.1</w:t>
              </w:r>
            </w:hyperlink>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B46E51E" w14:textId="77777777" w:rsidR="00434559" w:rsidRDefault="008F6152">
            <w:pPr>
              <w:widowControl w:val="0"/>
              <w:tabs>
                <w:tab w:val="left" w:pos="8187"/>
              </w:tabs>
              <w:rPr>
                <w:rFonts w:ascii="Arial" w:hAnsi="Arial" w:cs="Arial"/>
              </w:rPr>
            </w:pPr>
            <w:r>
              <w:rPr>
                <w:rFonts w:ascii="Arial" w:hAnsi="Arial" w:cs="Arial"/>
              </w:rPr>
              <w:t xml:space="preserve">[Não aplicável] / [Valor máximo conforme consta no Anexo V - Termo de Referência] (Quando estabelecido valor máximo aceitável no Termo de Referência) </w:t>
            </w:r>
            <w:proofErr w:type="gramStart"/>
            <w:r>
              <w:rPr>
                <w:rFonts w:ascii="Arial" w:hAnsi="Arial" w:cs="Arial"/>
              </w:rPr>
              <w:t>[Indicar</w:t>
            </w:r>
            <w:proofErr w:type="gramEnd"/>
            <w:r>
              <w:rPr>
                <w:rFonts w:ascii="Arial" w:hAnsi="Arial" w:cs="Arial"/>
              </w:rPr>
              <w:t xml:space="preserve"> outro critério de aceitabilidade de preços]</w:t>
            </w:r>
          </w:p>
        </w:tc>
      </w:tr>
      <w:tr w:rsidR="00434559" w14:paraId="4204A9AB" w14:textId="77777777">
        <w:trPr>
          <w:trHeight w:val="384"/>
        </w:trPr>
        <w:tc>
          <w:tcPr>
            <w:tcW w:w="1556" w:type="dxa"/>
            <w:tcBorders>
              <w:top w:val="single" w:sz="6" w:space="0" w:color="000000"/>
              <w:left w:val="single" w:sz="6" w:space="0" w:color="000000"/>
              <w:bottom w:val="single" w:sz="6" w:space="0" w:color="000000"/>
              <w:right w:val="single" w:sz="6" w:space="0" w:color="000000"/>
            </w:tcBorders>
          </w:tcPr>
          <w:p w14:paraId="626E903E" w14:textId="77777777" w:rsidR="00434559" w:rsidRDefault="008F6152">
            <w:pPr>
              <w:widowControl w:val="0"/>
              <w:spacing w:line="252" w:lineRule="auto"/>
              <w:rPr>
                <w:rFonts w:ascii="Arial" w:hAnsi="Arial" w:cs="Arial"/>
              </w:rPr>
            </w:pPr>
            <w:hyperlink r:id="rId16">
              <w:r>
                <w:rPr>
                  <w:rFonts w:ascii="Arial" w:hAnsi="Arial" w:cs="Arial"/>
                  <w:u w:val="single"/>
                </w:rPr>
                <w:t>CGL 12.9</w:t>
              </w:r>
            </w:hyperlink>
          </w:p>
        </w:tc>
        <w:tc>
          <w:tcPr>
            <w:tcW w:w="8958" w:type="dxa"/>
            <w:tcBorders>
              <w:top w:val="single" w:sz="6" w:space="0" w:color="000000"/>
              <w:left w:val="single" w:sz="6" w:space="0" w:color="000000"/>
              <w:bottom w:val="single" w:sz="6" w:space="0" w:color="000000"/>
              <w:right w:val="single" w:sz="6" w:space="0" w:color="000000"/>
            </w:tcBorders>
          </w:tcPr>
          <w:p w14:paraId="46A07A0F" w14:textId="77777777" w:rsidR="00434559" w:rsidRDefault="008F6152">
            <w:pPr>
              <w:widowControl w:val="0"/>
              <w:tabs>
                <w:tab w:val="left" w:pos="8187"/>
              </w:tabs>
              <w:rPr>
                <w:rFonts w:ascii="Arial" w:hAnsi="Arial" w:cs="Arial"/>
              </w:rPr>
            </w:pPr>
            <w:r>
              <w:rPr>
                <w:rFonts w:ascii="Arial" w:hAnsi="Arial" w:cs="Arial"/>
              </w:rPr>
              <w:t>[Não aplicável] /</w:t>
            </w:r>
          </w:p>
          <w:p w14:paraId="15775BA2" w14:textId="77777777" w:rsidR="00434559" w:rsidRDefault="00434559">
            <w:pPr>
              <w:widowControl w:val="0"/>
              <w:tabs>
                <w:tab w:val="left" w:pos="8187"/>
              </w:tabs>
              <w:rPr>
                <w:rFonts w:ascii="Arial" w:hAnsi="Arial" w:cs="Arial"/>
              </w:rPr>
            </w:pPr>
          </w:p>
          <w:p w14:paraId="1F030296" w14:textId="77777777" w:rsidR="00434559" w:rsidRDefault="008F6152">
            <w:pPr>
              <w:widowControl w:val="0"/>
              <w:tabs>
                <w:tab w:val="left" w:pos="8187"/>
              </w:tabs>
              <w:rPr>
                <w:rFonts w:ascii="Arial" w:hAnsi="Arial" w:cs="Arial"/>
              </w:rPr>
            </w:pPr>
            <w:r>
              <w:rPr>
                <w:rFonts w:ascii="Arial" w:hAnsi="Arial" w:cs="Arial"/>
              </w:rPr>
              <w:t>[Para fins de julgamento e definição da proposta vencedora será utilizada a seguinte fórmula para apuração do menor preço</w:t>
            </w:r>
            <w:proofErr w:type="gramStart"/>
            <w:r>
              <w:rPr>
                <w:rFonts w:ascii="Arial" w:hAnsi="Arial" w:cs="Arial"/>
              </w:rPr>
              <w:t>: ]</w:t>
            </w:r>
            <w:proofErr w:type="gramEnd"/>
            <w:r>
              <w:rPr>
                <w:rFonts w:ascii="Arial" w:hAnsi="Arial" w:cs="Arial"/>
              </w:rPr>
              <w:t xml:space="preserve"> </w:t>
            </w:r>
          </w:p>
          <w:p w14:paraId="5186F8D3" w14:textId="77777777" w:rsidR="00434559" w:rsidRDefault="008F6152">
            <w:pPr>
              <w:widowControl w:val="0"/>
              <w:tabs>
                <w:tab w:val="left" w:pos="8187"/>
              </w:tabs>
              <w:rPr>
                <w:rFonts w:ascii="Arial" w:hAnsi="Arial" w:cs="Arial"/>
                <w:i/>
              </w:rPr>
            </w:pPr>
            <w:r>
              <w:rPr>
                <w:rFonts w:ascii="Arial" w:hAnsi="Arial" w:cs="Arial"/>
                <w:i/>
              </w:rPr>
              <w:t>NOTA: Deverão ser observadas as peculiaridades quanto aos regimes tributários, relativos a isenções, desonerações, subsídios, etc., de determinados setores ou produtos, que acarretem precificação diferenciada para aquisições por Entes Públicos, como por exemplo a aquisição de veículos de patrulhamento, cimento asfáltico, etc.</w:t>
            </w:r>
          </w:p>
        </w:tc>
      </w:tr>
      <w:tr w:rsidR="00434559" w14:paraId="012824B4" w14:textId="77777777">
        <w:trPr>
          <w:trHeight w:val="1110"/>
        </w:trPr>
        <w:tc>
          <w:tcPr>
            <w:tcW w:w="1556" w:type="dxa"/>
            <w:tcBorders>
              <w:top w:val="single" w:sz="6" w:space="0" w:color="000000"/>
              <w:left w:val="single" w:sz="6" w:space="0" w:color="000000"/>
              <w:bottom w:val="single" w:sz="6" w:space="0" w:color="000000"/>
              <w:right w:val="single" w:sz="6" w:space="0" w:color="000000"/>
            </w:tcBorders>
          </w:tcPr>
          <w:p w14:paraId="47EDD7FE" w14:textId="77777777" w:rsidR="00434559" w:rsidRDefault="008F6152">
            <w:pPr>
              <w:widowControl w:val="0"/>
              <w:tabs>
                <w:tab w:val="left" w:pos="1418"/>
              </w:tabs>
              <w:spacing w:line="252" w:lineRule="auto"/>
              <w:rPr>
                <w:rFonts w:ascii="Arial" w:hAnsi="Arial" w:cs="Arial"/>
              </w:rPr>
            </w:pPr>
            <w:r>
              <w:rPr>
                <w:rFonts w:ascii="Arial" w:hAnsi="Arial" w:cs="Arial"/>
              </w:rPr>
              <w:t>CGL 13.5</w:t>
            </w:r>
          </w:p>
        </w:tc>
        <w:tc>
          <w:tcPr>
            <w:tcW w:w="8958" w:type="dxa"/>
            <w:tcBorders>
              <w:top w:val="single" w:sz="6" w:space="0" w:color="000000"/>
              <w:left w:val="single" w:sz="6" w:space="0" w:color="000000"/>
              <w:bottom w:val="single" w:sz="6" w:space="0" w:color="000000"/>
              <w:right w:val="single" w:sz="6" w:space="0" w:color="000000"/>
            </w:tcBorders>
          </w:tcPr>
          <w:p w14:paraId="0A840112" w14:textId="77777777" w:rsidR="00434559" w:rsidRDefault="008F6152">
            <w:pPr>
              <w:widowControl w:val="0"/>
              <w:spacing w:before="120"/>
              <w:ind w:left="708" w:right="113"/>
              <w:rPr>
                <w:rFonts w:eastAsia="Arial"/>
                <w:b/>
                <w:color w:val="000000" w:themeColor="text1"/>
              </w:rPr>
            </w:pPr>
            <w:r>
              <w:rPr>
                <w:rFonts w:eastAsia="Arial"/>
                <w:b/>
                <w:color w:val="000000" w:themeColor="text1"/>
              </w:rPr>
              <w:t>[</w:t>
            </w:r>
            <w:r>
              <w:rPr>
                <w:rFonts w:eastAsia="Arial"/>
                <w:b/>
                <w:bCs/>
                <w:i/>
                <w:iCs/>
                <w:color w:val="000000" w:themeColor="text1"/>
              </w:rPr>
              <w:t>Texto explicativo: Para dispensa total ou parcial dos documentos abaixo, observar os requisitos da</w:t>
            </w:r>
            <w:r>
              <w:rPr>
                <w:b/>
                <w:color w:val="000000" w:themeColor="text1"/>
              </w:rPr>
              <w:t xml:space="preserve"> </w:t>
            </w:r>
            <w:r>
              <w:rPr>
                <w:rFonts w:eastAsia="Arial"/>
                <w:b/>
                <w:bCs/>
                <w:i/>
                <w:iCs/>
                <w:color w:val="000000" w:themeColor="text1"/>
              </w:rPr>
              <w:t>Lei federal 14.133/2021 (art. 70), Decreto 57.154/2023 (Art. 4º) e IN CAGE 11/2023 (Art. 4º). No caso de dispensa total dos documentos, utilizar a Opção 1, com a devida justificativa no processo administrativo.</w:t>
            </w:r>
          </w:p>
          <w:p w14:paraId="0529C232" w14:textId="77777777" w:rsidR="00434559" w:rsidRDefault="008F6152">
            <w:pPr>
              <w:widowControl w:val="0"/>
              <w:spacing w:before="120"/>
              <w:ind w:left="708" w:right="113"/>
              <w:rPr>
                <w:rFonts w:eastAsia="Arial"/>
                <w:b/>
                <w:color w:val="000000" w:themeColor="text1"/>
              </w:rPr>
            </w:pPr>
            <w:r>
              <w:rPr>
                <w:rFonts w:eastAsia="Arial"/>
                <w:b/>
                <w:bCs/>
                <w:i/>
                <w:iCs/>
                <w:color w:val="000000" w:themeColor="text1"/>
              </w:rPr>
              <w:t>Não sendo o caso de dispensa de documentos, utilizar a Opção 2 na íntegra ou, no caso de dispensa apenas parcial, utilizar a opção 2 mantendo somente os documentos que serão exigidos, com a devida justificativa no processo administrativo.]</w:t>
            </w:r>
          </w:p>
          <w:p w14:paraId="2E0BA38D" w14:textId="77777777" w:rsidR="00434559" w:rsidRDefault="00434559">
            <w:pPr>
              <w:widowControl w:val="0"/>
              <w:spacing w:before="120"/>
              <w:ind w:right="113"/>
              <w:rPr>
                <w:rFonts w:eastAsia="Arial"/>
                <w:color w:val="000000" w:themeColor="text1"/>
              </w:rPr>
            </w:pPr>
          </w:p>
          <w:p w14:paraId="0F8E1238" w14:textId="3FE8C149" w:rsidR="00434559" w:rsidRDefault="008F6152">
            <w:pPr>
              <w:widowControl w:val="0"/>
              <w:spacing w:before="120"/>
              <w:ind w:right="113"/>
              <w:rPr>
                <w:rFonts w:eastAsia="Arial"/>
                <w:color w:val="FF0000"/>
              </w:rPr>
            </w:pPr>
            <w:r>
              <w:rPr>
                <w:rFonts w:eastAsia="Arial"/>
                <w:color w:val="FF0000"/>
              </w:rPr>
              <w:t xml:space="preserve">Opção 1: utilizar quando o prazo de entrega for </w:t>
            </w:r>
            <w:r w:rsidRPr="008F6152">
              <w:rPr>
                <w:rFonts w:eastAsia="Arial"/>
                <w:color w:val="FF0000"/>
                <w:u w:val="single"/>
              </w:rPr>
              <w:t>até 30 dias.</w:t>
            </w:r>
          </w:p>
          <w:p w14:paraId="585DB872" w14:textId="77777777" w:rsidR="00434559" w:rsidRDefault="008F6152">
            <w:pPr>
              <w:widowControl w:val="0"/>
              <w:spacing w:before="120"/>
              <w:ind w:right="113"/>
              <w:rPr>
                <w:rFonts w:eastAsia="Arial"/>
                <w:color w:val="000000" w:themeColor="text1"/>
              </w:rPr>
            </w:pPr>
            <w:r>
              <w:rPr>
                <w:rFonts w:eastAsia="Arial"/>
                <w:color w:val="000000" w:themeColor="text1"/>
              </w:rPr>
              <w:t>Fica dispensada a apresentação de demais documentos de habilitação, exceto os obrigatórios previstos na CGL 13.3 e CGL 13.4 e no Termo de Referência, se houver.</w:t>
            </w:r>
          </w:p>
          <w:p w14:paraId="1E79DFE8" w14:textId="77777777" w:rsidR="00434559" w:rsidRDefault="00434559">
            <w:pPr>
              <w:widowControl w:val="0"/>
              <w:spacing w:before="120"/>
              <w:ind w:right="113"/>
              <w:rPr>
                <w:rFonts w:eastAsia="Arial"/>
                <w:color w:val="000000" w:themeColor="text1"/>
              </w:rPr>
            </w:pPr>
          </w:p>
          <w:p w14:paraId="448F8FBD" w14:textId="609D984D" w:rsidR="00434559" w:rsidRDefault="008F6152">
            <w:pPr>
              <w:widowControl w:val="0"/>
              <w:spacing w:before="120"/>
              <w:ind w:right="113"/>
              <w:rPr>
                <w:rFonts w:eastAsia="Arial"/>
                <w:color w:val="FF0000"/>
              </w:rPr>
            </w:pPr>
            <w:r>
              <w:rPr>
                <w:rFonts w:eastAsia="Arial"/>
                <w:color w:val="FF0000"/>
              </w:rPr>
              <w:t xml:space="preserve">Opção 2: Para prazo de entrega </w:t>
            </w:r>
            <w:r w:rsidRPr="008F6152">
              <w:rPr>
                <w:rFonts w:eastAsia="Arial"/>
                <w:color w:val="FF0000"/>
                <w:u w:val="single"/>
              </w:rPr>
              <w:t>acima de 30 dias</w:t>
            </w:r>
            <w:r>
              <w:rPr>
                <w:rFonts w:eastAsia="Arial"/>
                <w:color w:val="FF0000"/>
              </w:rPr>
              <w:t xml:space="preserve"> ou quando houve justificativa para o objeto.</w:t>
            </w:r>
          </w:p>
          <w:p w14:paraId="2F2CC68C" w14:textId="3B3683D3" w:rsidR="008F6152" w:rsidRPr="008F6152" w:rsidRDefault="008F6152">
            <w:pPr>
              <w:widowControl w:val="0"/>
              <w:spacing w:before="120"/>
              <w:ind w:right="113"/>
              <w:rPr>
                <w:rFonts w:eastAsia="Arial"/>
                <w:color w:val="EE0000"/>
              </w:rPr>
            </w:pPr>
            <w:r w:rsidRPr="008F6152">
              <w:rPr>
                <w:rFonts w:eastAsia="Arial"/>
                <w:color w:val="EE0000"/>
              </w:rPr>
              <w:t xml:space="preserve">Preencher o percentual no </w:t>
            </w:r>
            <w:r w:rsidRPr="008F6152">
              <w:rPr>
                <w:rStyle w:val="normaltextrun"/>
                <w:rFonts w:eastAsia="Arial"/>
                <w:color w:val="EE0000"/>
              </w:rPr>
              <w:t>13.5.2.2.1.1 (máximo 10%)</w:t>
            </w:r>
          </w:p>
          <w:p w14:paraId="528A11F0" w14:textId="77777777" w:rsidR="00434559" w:rsidRDefault="008F6152">
            <w:pPr>
              <w:widowControl w:val="0"/>
              <w:spacing w:before="120"/>
              <w:ind w:right="113"/>
              <w:rPr>
                <w:rFonts w:eastAsia="Arial"/>
                <w:color w:val="000000" w:themeColor="text1"/>
              </w:rPr>
            </w:pPr>
            <w:r>
              <w:rPr>
                <w:rFonts w:eastAsia="Arial"/>
                <w:color w:val="000000" w:themeColor="text1"/>
              </w:rPr>
              <w:t>Além dos documentos obrigatórios previstos na CGL 13.3 e CGL 13.4 e no Termo de Referência, se houver, serão exigidos:</w:t>
            </w:r>
          </w:p>
          <w:p w14:paraId="15DEFA95" w14:textId="77777777" w:rsidR="00434559" w:rsidRDefault="00434559">
            <w:pPr>
              <w:widowControl w:val="0"/>
              <w:spacing w:before="120"/>
              <w:ind w:right="113"/>
              <w:rPr>
                <w:rFonts w:eastAsia="Arial"/>
                <w:color w:val="000000" w:themeColor="text1"/>
              </w:rPr>
            </w:pPr>
          </w:p>
          <w:p w14:paraId="263FEA2A" w14:textId="77777777" w:rsidR="00434559" w:rsidRDefault="008F6152">
            <w:pPr>
              <w:widowControl w:val="0"/>
              <w:spacing w:before="120"/>
              <w:ind w:right="113"/>
              <w:rPr>
                <w:rFonts w:eastAsia="Arial"/>
                <w:color w:val="000000" w:themeColor="text1"/>
              </w:rPr>
            </w:pPr>
            <w:r>
              <w:rPr>
                <w:rFonts w:eastAsia="Arial"/>
                <w:color w:val="000000" w:themeColor="text1"/>
              </w:rPr>
              <w:t>13.5.1.</w:t>
            </w:r>
            <w:r>
              <w:rPr>
                <w:rFonts w:eastAsia="Arial"/>
                <w:b/>
                <w:bCs/>
                <w:color w:val="000000" w:themeColor="text1"/>
              </w:rPr>
              <w:t xml:space="preserve"> Documentos Relativos à Qualificação Técnica:</w:t>
            </w:r>
          </w:p>
          <w:p w14:paraId="7D072465" w14:textId="77777777" w:rsidR="00434559" w:rsidRDefault="008F6152">
            <w:pPr>
              <w:widowControl w:val="0"/>
              <w:spacing w:before="120"/>
              <w:ind w:right="113"/>
              <w:rPr>
                <w:rFonts w:eastAsia="Arial"/>
                <w:color w:val="000000" w:themeColor="text1"/>
              </w:rPr>
            </w:pPr>
            <w:r>
              <w:rPr>
                <w:rFonts w:eastAsia="Arial"/>
                <w:color w:val="000000" w:themeColor="text1"/>
              </w:rPr>
              <w:t>13.5.1.1. comprovação de aptidão para o fornecimento em características, quantidades e prazos compatíveis com o objeto desta licitação, ou com o item pertinente, mediante a apresentação de atestado fornecido por pessoas jurídicas de direito público ou privado; </w:t>
            </w:r>
          </w:p>
          <w:p w14:paraId="160C406A" w14:textId="77777777" w:rsidR="00434559" w:rsidRDefault="008F6152">
            <w:pPr>
              <w:widowControl w:val="0"/>
              <w:spacing w:before="120"/>
              <w:ind w:right="113"/>
              <w:rPr>
                <w:rFonts w:eastAsia="Arial"/>
                <w:color w:val="000000" w:themeColor="text1"/>
              </w:rPr>
            </w:pPr>
            <w:r>
              <w:rPr>
                <w:rFonts w:eastAsia="Arial"/>
                <w:color w:val="000000" w:themeColor="text1"/>
              </w:rPr>
              <w:t>13.5.1.2. os atestados deverão referir-se a fornecimentos no âmbito de sua atividade econômica principal ou secundária especificadas no contrato social vigente. </w:t>
            </w:r>
          </w:p>
          <w:p w14:paraId="6F0FD096" w14:textId="77777777" w:rsidR="00434559" w:rsidRDefault="00434559">
            <w:pPr>
              <w:widowControl w:val="0"/>
              <w:spacing w:before="120"/>
              <w:ind w:right="113"/>
              <w:rPr>
                <w:rFonts w:eastAsia="Arial"/>
                <w:color w:val="000000" w:themeColor="text1"/>
              </w:rPr>
            </w:pPr>
          </w:p>
          <w:p w14:paraId="4CC1FF88" w14:textId="77777777" w:rsidR="00434559" w:rsidRDefault="008F6152">
            <w:pPr>
              <w:widowControl w:val="0"/>
              <w:spacing w:before="120"/>
              <w:rPr>
                <w:rFonts w:eastAsia="Arial"/>
                <w:color w:val="000000" w:themeColor="text1"/>
              </w:rPr>
            </w:pPr>
            <w:r>
              <w:rPr>
                <w:rFonts w:eastAsia="Arial"/>
                <w:color w:val="000000" w:themeColor="text1"/>
              </w:rPr>
              <w:t xml:space="preserve">13.5.2. </w:t>
            </w:r>
            <w:r>
              <w:rPr>
                <w:rFonts w:eastAsia="Arial"/>
                <w:b/>
                <w:bCs/>
                <w:color w:val="000000" w:themeColor="text1"/>
              </w:rPr>
              <w:t>São exigidos Documentos Relativos à Qualificação Econômico-Financeira, em conformidade com o Decreto nº 57.154, de 22 de agosto de 2023, e com a Instrução Normativa CAGE Nº 11, de 4 de dezembro de 2023, a saber</w:t>
            </w:r>
            <w:r>
              <w:rPr>
                <w:rFonts w:eastAsia="Arial"/>
                <w:color w:val="000000" w:themeColor="text1"/>
              </w:rPr>
              <w:t>:</w:t>
            </w:r>
          </w:p>
          <w:p w14:paraId="4974D3C1" w14:textId="77777777" w:rsidR="00434559" w:rsidRDefault="00434559">
            <w:pPr>
              <w:widowControl w:val="0"/>
              <w:spacing w:before="120"/>
              <w:rPr>
                <w:rFonts w:eastAsia="Segoe UI"/>
                <w:color w:val="000000" w:themeColor="text1"/>
                <w:sz w:val="18"/>
                <w:szCs w:val="18"/>
              </w:rPr>
            </w:pPr>
          </w:p>
          <w:p w14:paraId="21EC7AAB" w14:textId="77777777" w:rsidR="00434559" w:rsidRDefault="008F6152">
            <w:pPr>
              <w:widowControl w:val="0"/>
              <w:spacing w:before="120"/>
              <w:ind w:left="708"/>
              <w:rPr>
                <w:rFonts w:eastAsia="Arial"/>
                <w:color w:val="000000" w:themeColor="text1"/>
              </w:rPr>
            </w:pPr>
            <w:r>
              <w:rPr>
                <w:rFonts w:eastAsia="Arial"/>
                <w:i/>
                <w:iCs/>
                <w:color w:val="000000" w:themeColor="text1"/>
              </w:rPr>
              <w:t>NOTA 1: Conforme Lei federal 14.133/2021 (art. 70), Decreto 57.154/2023 (Art. 4º) e IN CAGE 11/2023 (Art. 4º), poderá ser dispensada a qualificação econômico-financeira na hipótese de contratações para entrega imediata (aquela com prazo de entrega ou de conclusão do objeto de até 30 dias) e nas contratações em valores inferiores a 1/4 (um quarto) do limite para dispensa de licitação para compras em geral. Assim sendo, a exigência de qualificação econômico-financeira, nesses casos, deve ser justificada pela Administração e somente deve ser inserida caso seja indispensável à garantia do cumprimento das obrigações.</w:t>
            </w:r>
          </w:p>
          <w:p w14:paraId="082AA6A6" w14:textId="77777777" w:rsidR="00434559" w:rsidRDefault="00434559">
            <w:pPr>
              <w:widowControl w:val="0"/>
              <w:spacing w:before="120"/>
              <w:ind w:left="708"/>
              <w:rPr>
                <w:rFonts w:eastAsia="Arial"/>
                <w:color w:val="000000" w:themeColor="text1"/>
              </w:rPr>
            </w:pPr>
          </w:p>
          <w:p w14:paraId="6747EE71" w14:textId="77777777" w:rsidR="00434559" w:rsidRDefault="008F6152">
            <w:pPr>
              <w:widowControl w:val="0"/>
              <w:spacing w:before="120"/>
              <w:ind w:left="708"/>
              <w:rPr>
                <w:rFonts w:eastAsia="Arial"/>
                <w:color w:val="000000" w:themeColor="text1"/>
              </w:rPr>
            </w:pPr>
            <w:r>
              <w:rPr>
                <w:rFonts w:eastAsia="Arial"/>
                <w:i/>
                <w:iCs/>
                <w:color w:val="000000" w:themeColor="text1"/>
              </w:rPr>
              <w:t>NOTA 2: A exigência de patrimônio líquido mínimo (item 13.5.2.2.1.1.) somente será possível se a licitação for de compra para entrega futura, ou seja, se o prazo de entrega estipulado no Termo de Referência for superior a 30 (trinta) dias.</w:t>
            </w:r>
          </w:p>
          <w:p w14:paraId="4D935179" w14:textId="77777777" w:rsidR="00434559" w:rsidRDefault="00434559">
            <w:pPr>
              <w:widowControl w:val="0"/>
              <w:spacing w:before="120"/>
              <w:ind w:left="708"/>
              <w:rPr>
                <w:rFonts w:eastAsia="Arial"/>
                <w:color w:val="000000" w:themeColor="text1"/>
              </w:rPr>
            </w:pPr>
          </w:p>
          <w:p w14:paraId="27A9626E" w14:textId="77777777" w:rsidR="00434559" w:rsidRDefault="008F6152">
            <w:pPr>
              <w:widowControl w:val="0"/>
              <w:spacing w:before="120"/>
              <w:ind w:left="708"/>
              <w:rPr>
                <w:rFonts w:eastAsia="Arial"/>
                <w:color w:val="000000" w:themeColor="text1"/>
              </w:rPr>
            </w:pPr>
            <w:r>
              <w:rPr>
                <w:rFonts w:eastAsia="Arial"/>
                <w:i/>
                <w:iCs/>
                <w:color w:val="000000" w:themeColor="text1"/>
              </w:rPr>
              <w:t>NOTA 3: A fixação do percentual do patrimônio líquido mínimo a que se refere o item 13.6.1.2.1.1. se insere na esfera de atuação discricionária da Administração até o limite legal de 10% (dez por cento)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2831D6C7" w14:textId="77777777" w:rsidR="00434559" w:rsidRDefault="00434559">
            <w:pPr>
              <w:widowControl w:val="0"/>
              <w:spacing w:before="120"/>
              <w:ind w:left="708"/>
              <w:rPr>
                <w:rFonts w:eastAsia="Arial"/>
                <w:color w:val="000000" w:themeColor="text1"/>
              </w:rPr>
            </w:pPr>
          </w:p>
          <w:p w14:paraId="1B094858" w14:textId="77777777" w:rsidR="00434559" w:rsidRDefault="008F6152">
            <w:pPr>
              <w:widowControl w:val="0"/>
              <w:spacing w:before="120"/>
              <w:ind w:left="708" w:right="113"/>
              <w:rPr>
                <w:rFonts w:eastAsia="Arial"/>
                <w:color w:val="000000" w:themeColor="text1"/>
              </w:rPr>
            </w:pPr>
            <w:r>
              <w:rPr>
                <w:rFonts w:eastAsia="Arial"/>
                <w:i/>
                <w:iCs/>
                <w:color w:val="000000" w:themeColor="text1"/>
              </w:rPr>
              <w:t xml:space="preserve">NOTA 4: Se o percentual for fixado em seu mais alto patamar e o valor total </w:t>
            </w:r>
            <w:r>
              <w:rPr>
                <w:rFonts w:eastAsia="Arial"/>
                <w:i/>
                <w:iCs/>
                <w:color w:val="000000" w:themeColor="text1"/>
              </w:rPr>
              <w:lastRenderedPageBreak/>
              <w:t>estimado da contratação também for significativo, trará como consequência a necessidade de comprovação de patrimônio líquido elevado, o que poderá resultar na restrição à participação de interessados no certame, fato esse que deverá ser levado em consideração na opção pelo percentual a ser aplicado.</w:t>
            </w:r>
          </w:p>
          <w:p w14:paraId="4E290659" w14:textId="77777777" w:rsidR="00434559" w:rsidRDefault="00434559">
            <w:pPr>
              <w:widowControl w:val="0"/>
              <w:spacing w:before="120"/>
              <w:rPr>
                <w:rFonts w:eastAsia="Segoe UI"/>
                <w:color w:val="000000" w:themeColor="text1"/>
                <w:sz w:val="18"/>
                <w:szCs w:val="18"/>
              </w:rPr>
            </w:pPr>
          </w:p>
          <w:p w14:paraId="16E56EE2" w14:textId="77777777" w:rsidR="00434559" w:rsidRDefault="008F6152">
            <w:pPr>
              <w:widowControl w:val="0"/>
              <w:spacing w:before="120"/>
              <w:rPr>
                <w:rFonts w:eastAsia="Arial"/>
                <w:color w:val="000000" w:themeColor="text1"/>
              </w:rPr>
            </w:pPr>
            <w:r>
              <w:rPr>
                <w:rStyle w:val="normaltextrun"/>
                <w:rFonts w:eastAsia="Arial"/>
                <w:color w:val="000000" w:themeColor="text1"/>
              </w:rPr>
              <w:t>13.5.2.1. certidão negativa de feitos sobre falência expedida pelo distribuidor da sede do licitante, com data de emissão não superior a 180 (cento e oitenta) dias anteriores à data prevista para o recebimento da documentação da habilitação e da proposta; </w:t>
            </w:r>
          </w:p>
          <w:p w14:paraId="7ADB92D0" w14:textId="77777777" w:rsidR="00434559" w:rsidRDefault="008F6152">
            <w:pPr>
              <w:widowControl w:val="0"/>
              <w:spacing w:before="120"/>
              <w:rPr>
                <w:rStyle w:val="normaltextrun"/>
                <w:rFonts w:eastAsia="Arial"/>
                <w:color w:val="000000" w:themeColor="text1"/>
              </w:rPr>
            </w:pPr>
            <w:r>
              <w:rPr>
                <w:rStyle w:val="normaltextrun"/>
                <w:rFonts w:eastAsia="Arial"/>
                <w:color w:val="000000" w:themeColor="text1"/>
              </w:rPr>
              <w:t>13.5.2.1.1. em se tratando de sociedade simples e pessoa física, deverá ser apresentada a certidão negativa de insolvência civil.</w:t>
            </w:r>
          </w:p>
          <w:p w14:paraId="549C370A" w14:textId="77777777" w:rsidR="00434559" w:rsidRDefault="008F6152">
            <w:pPr>
              <w:widowControl w:val="0"/>
              <w:spacing w:before="120"/>
              <w:ind w:right="113"/>
              <w:rPr>
                <w:rFonts w:eastAsia="Arial"/>
                <w:color w:val="000000" w:themeColor="text1"/>
              </w:rPr>
            </w:pPr>
            <w:r>
              <w:rPr>
                <w:rStyle w:val="normaltextrun"/>
                <w:rFonts w:eastAsia="Arial"/>
                <w:color w:val="000000" w:themeColor="text1"/>
              </w:rPr>
              <w:t>13.5.2.2. balanço patrimonial e demonstração de resultado de exercício dos dois últimos exercícios sociais, comprovando, em relação ao último exercício social:</w:t>
            </w:r>
          </w:p>
          <w:p w14:paraId="07F84FAE" w14:textId="77777777" w:rsidR="00434559" w:rsidRDefault="008F6152">
            <w:pPr>
              <w:widowControl w:val="0"/>
              <w:spacing w:before="120"/>
              <w:ind w:right="113"/>
              <w:rPr>
                <w:rFonts w:eastAsia="Arial"/>
                <w:color w:val="000000" w:themeColor="text1"/>
              </w:rPr>
            </w:pPr>
            <w:r>
              <w:rPr>
                <w:rFonts w:eastAsia="Arial"/>
                <w:color w:val="000000" w:themeColor="text1"/>
              </w:rPr>
              <w:t>13.5</w:t>
            </w:r>
            <w:r>
              <w:rPr>
                <w:color w:val="000000" w:themeColor="text1"/>
              </w:rPr>
              <w:t>.</w:t>
            </w:r>
            <w:r>
              <w:rPr>
                <w:rFonts w:eastAsia="Arial"/>
                <w:color w:val="000000" w:themeColor="text1"/>
              </w:rPr>
              <w:t>2.2.1. índices de liquidez geral - ILG, de solvência geral - ISG, e de liquidez corrente - ILC, superiores a 1 (um);</w:t>
            </w:r>
          </w:p>
          <w:p w14:paraId="5C157FE8" w14:textId="77777777" w:rsidR="00434559" w:rsidRDefault="008F6152">
            <w:pPr>
              <w:widowControl w:val="0"/>
              <w:spacing w:before="120"/>
              <w:ind w:right="113"/>
              <w:rPr>
                <w:rFonts w:eastAsia="Arial"/>
                <w:color w:val="000000" w:themeColor="text1"/>
              </w:rPr>
            </w:pPr>
            <w:r>
              <w:rPr>
                <w:rStyle w:val="normaltextrun"/>
                <w:rFonts w:eastAsia="Arial"/>
                <w:color w:val="000000" w:themeColor="text1"/>
              </w:rPr>
              <w:t>13.5.2.2.1.1</w:t>
            </w:r>
            <w:r>
              <w:rPr>
                <w:rStyle w:val="normaltextrun"/>
                <w:color w:val="000000" w:themeColor="text1"/>
              </w:rPr>
              <w:t>.</w:t>
            </w:r>
            <w:r>
              <w:rPr>
                <w:rStyle w:val="normaltextrun"/>
                <w:rFonts w:eastAsia="Arial"/>
                <w:color w:val="000000" w:themeColor="text1"/>
              </w:rPr>
              <w:t xml:space="preserve"> caso qualquer um dos índices referidos no item 13.5.2.2.1. apresente resultado inferior ou igual a 1 (um), será exigido, em relação ao valor da proposta final do licitante, patrimônio líquido mínimo de </w:t>
            </w:r>
            <w:r>
              <w:rPr>
                <w:rFonts w:eastAsia="Arial"/>
                <w:color w:val="FF0000"/>
              </w:rPr>
              <w:t xml:space="preserve">XXXX% (percentual por extenso) </w:t>
            </w:r>
            <w:r>
              <w:rPr>
                <w:rFonts w:eastAsia="Arial"/>
                <w:color w:val="000000" w:themeColor="text1"/>
              </w:rPr>
              <w:t>do valor da proposta final do licitante.</w:t>
            </w:r>
          </w:p>
          <w:p w14:paraId="3FD8BBE0" w14:textId="77777777" w:rsidR="00434559" w:rsidRDefault="008F6152">
            <w:pPr>
              <w:widowControl w:val="0"/>
              <w:spacing w:before="120"/>
              <w:ind w:right="113"/>
              <w:rPr>
                <w:rFonts w:eastAsia="Arial"/>
                <w:color w:val="000000" w:themeColor="text1"/>
              </w:rPr>
            </w:pPr>
            <w:r>
              <w:rPr>
                <w:rStyle w:val="normaltextrun"/>
                <w:rFonts w:eastAsia="Arial"/>
                <w:color w:val="000000" w:themeColor="text1"/>
              </w:rPr>
              <w:t>13.5.2</w:t>
            </w:r>
            <w:r>
              <w:rPr>
                <w:rStyle w:val="normaltextrun"/>
                <w:color w:val="000000" w:themeColor="text1"/>
              </w:rPr>
              <w:t>.</w:t>
            </w:r>
            <w:r>
              <w:rPr>
                <w:rStyle w:val="normaltextrun"/>
                <w:rFonts w:eastAsia="Arial"/>
                <w:color w:val="000000" w:themeColor="text1"/>
              </w:rPr>
              <w:t xml:space="preserve">3. os documentos do item 13.5.2.2. poderão ser substituídos pelo Certificado de Ateste e de Avaliação Econômico-Financeira de Licitantes, expedido pela Contadoria e Auditoria-Geral do Estado (CAGE), a ser obtido no site </w:t>
            </w:r>
            <w:hyperlink r:id="rId17">
              <w:r>
                <w:rPr>
                  <w:rStyle w:val="LinkdaInternet"/>
                  <w:rFonts w:eastAsia="Arial"/>
                </w:rPr>
                <w:t>www.sisacf.sefaz.rs.gov.br</w:t>
              </w:r>
            </w:hyperlink>
            <w:r>
              <w:rPr>
                <w:rStyle w:val="normaltextrun"/>
                <w:rFonts w:eastAsia="Arial"/>
                <w:color w:val="000000" w:themeColor="text1"/>
              </w:rPr>
              <w:t>.</w:t>
            </w:r>
          </w:p>
          <w:p w14:paraId="78AC5CFC" w14:textId="77777777" w:rsidR="00434559" w:rsidRDefault="008F6152">
            <w:pPr>
              <w:widowControl w:val="0"/>
              <w:spacing w:before="120"/>
              <w:ind w:right="113"/>
              <w:rPr>
                <w:rFonts w:eastAsia="Arial"/>
                <w:color w:val="000000" w:themeColor="text1"/>
              </w:rPr>
            </w:pPr>
            <w:r>
              <w:rPr>
                <w:rStyle w:val="normaltextrun"/>
                <w:rFonts w:eastAsia="Arial"/>
                <w:color w:val="000000" w:themeColor="text1"/>
              </w:rPr>
              <w:t>13.6.1.4. O licitante enquadrado como Microempresa e Empresa de Pequeno Porte estará dispensado da apresentação dos documentos a que se referem os itens 13.5.2.2. e 13.5.2.3., na forma do art. 3º da Lei n° 13.706/2011, se o prazo de entrega estipulado no Termo de Referência for de até 30 (trinta) dias.</w:t>
            </w:r>
          </w:p>
          <w:p w14:paraId="07781CDF" w14:textId="77777777" w:rsidR="00434559" w:rsidRDefault="00434559">
            <w:pPr>
              <w:widowControl w:val="0"/>
              <w:ind w:right="113"/>
              <w:rPr>
                <w:rFonts w:ascii="Arial" w:eastAsia="Arial" w:hAnsi="Arial" w:cs="Arial"/>
                <w:color w:val="000000" w:themeColor="text1"/>
              </w:rPr>
            </w:pPr>
          </w:p>
          <w:p w14:paraId="25F84B17" w14:textId="77777777" w:rsidR="00434559" w:rsidRDefault="008F6152">
            <w:pPr>
              <w:widowControl w:val="0"/>
              <w:ind w:right="113"/>
              <w:rPr>
                <w:rFonts w:ascii="Arial" w:eastAsia="Arial" w:hAnsi="Arial" w:cs="Arial"/>
                <w:color w:val="000000" w:themeColor="text1"/>
              </w:rPr>
            </w:pPr>
            <w:r>
              <w:rPr>
                <w:rFonts w:ascii="Arial" w:eastAsia="Arial" w:hAnsi="Arial" w:cs="Arial"/>
                <w:color w:val="000000" w:themeColor="text1"/>
              </w:rPr>
              <w:t xml:space="preserve">13.5.3. </w:t>
            </w:r>
            <w:r>
              <w:rPr>
                <w:rFonts w:ascii="Arial" w:eastAsiaTheme="minorHAnsi" w:hAnsi="Arial" w:cs="Arial"/>
                <w:b/>
                <w:lang w:eastAsia="en-US"/>
              </w:rPr>
              <w:t>Outros Documentos Complementares de Habilitação:</w:t>
            </w:r>
          </w:p>
          <w:p w14:paraId="41656E0C" w14:textId="0C16C7DD" w:rsidR="00434559" w:rsidRPr="008F6152" w:rsidRDefault="008F6152">
            <w:pPr>
              <w:widowControl w:val="0"/>
              <w:spacing w:line="252" w:lineRule="auto"/>
              <w:rPr>
                <w:rFonts w:ascii="Arial" w:eastAsiaTheme="minorHAnsi" w:hAnsi="Arial" w:cs="Arial"/>
                <w:bCs/>
                <w:color w:val="EE0000"/>
                <w:lang w:eastAsia="en-US"/>
              </w:rPr>
            </w:pPr>
            <w:r w:rsidRPr="008F6152">
              <w:rPr>
                <w:rFonts w:ascii="Arial" w:eastAsiaTheme="minorHAnsi" w:hAnsi="Arial" w:cs="Arial"/>
                <w:bCs/>
                <w:color w:val="EE0000"/>
                <w:lang w:eastAsia="en-US"/>
              </w:rPr>
              <w:t>(incluir abaixo outros documentos de habilitação complementares quando for o caso</w:t>
            </w:r>
            <w:r>
              <w:rPr>
                <w:rFonts w:ascii="Arial" w:eastAsiaTheme="minorHAnsi" w:hAnsi="Arial" w:cs="Arial"/>
                <w:bCs/>
                <w:color w:val="EE0000"/>
                <w:lang w:eastAsia="en-US"/>
              </w:rPr>
              <w:t xml:space="preserve"> – lembrando que se trata exigências que a empresa precisa ter e não do objeto. </w:t>
            </w:r>
            <w:proofErr w:type="spellStart"/>
            <w:r>
              <w:rPr>
                <w:rFonts w:ascii="Arial" w:eastAsiaTheme="minorHAnsi" w:hAnsi="Arial" w:cs="Arial"/>
                <w:bCs/>
                <w:color w:val="EE0000"/>
                <w:lang w:eastAsia="en-US"/>
              </w:rPr>
              <w:t>Ex</w:t>
            </w:r>
            <w:proofErr w:type="spellEnd"/>
            <w:r>
              <w:rPr>
                <w:rFonts w:ascii="Arial" w:eastAsiaTheme="minorHAnsi" w:hAnsi="Arial" w:cs="Arial"/>
                <w:bCs/>
                <w:color w:val="EE0000"/>
                <w:lang w:eastAsia="en-US"/>
              </w:rPr>
              <w:t>: licenças, alvarás, certificados</w:t>
            </w:r>
            <w:r w:rsidRPr="008F6152">
              <w:rPr>
                <w:rFonts w:ascii="Arial" w:eastAsiaTheme="minorHAnsi" w:hAnsi="Arial" w:cs="Arial"/>
                <w:bCs/>
                <w:color w:val="EE0000"/>
                <w:lang w:eastAsia="en-US"/>
              </w:rPr>
              <w:t>).</w:t>
            </w:r>
          </w:p>
          <w:p w14:paraId="60C2FC08" w14:textId="0B89CD62" w:rsidR="008F6152" w:rsidRPr="008F6152" w:rsidRDefault="008F6152">
            <w:pPr>
              <w:widowControl w:val="0"/>
              <w:spacing w:line="252" w:lineRule="auto"/>
              <w:rPr>
                <w:rFonts w:ascii="Arial" w:eastAsiaTheme="minorHAnsi" w:hAnsi="Arial" w:cs="Arial"/>
                <w:bCs/>
                <w:color w:val="EE0000"/>
                <w:lang w:eastAsia="en-US"/>
              </w:rPr>
            </w:pPr>
            <w:r w:rsidRPr="008F6152">
              <w:rPr>
                <w:rFonts w:ascii="Arial" w:eastAsiaTheme="minorHAnsi" w:hAnsi="Arial" w:cs="Arial"/>
                <w:bCs/>
                <w:color w:val="EE0000"/>
                <w:lang w:eastAsia="en-US"/>
              </w:rPr>
              <w:t xml:space="preserve">Não há necessidade de incluir </w:t>
            </w:r>
            <w:r w:rsidRPr="008F6152">
              <w:rPr>
                <w:bCs/>
                <w:color w:val="EE0000"/>
                <w:sz w:val="22"/>
                <w:szCs w:val="22"/>
              </w:rPr>
              <w:t>Documentos Relativos à Habilitação Jurídica e Documentos Relativos à Regularidade Fiscal, Social e Trabalhista</w:t>
            </w:r>
            <w:r>
              <w:rPr>
                <w:bCs/>
                <w:color w:val="EE0000"/>
                <w:sz w:val="22"/>
                <w:szCs w:val="22"/>
              </w:rPr>
              <w:t>, pois já fazem parte do edital.</w:t>
            </w:r>
          </w:p>
          <w:p w14:paraId="6B3BA124" w14:textId="77777777" w:rsidR="00434559" w:rsidRDefault="00434559">
            <w:pPr>
              <w:widowControl w:val="0"/>
              <w:spacing w:line="252" w:lineRule="auto"/>
              <w:rPr>
                <w:rFonts w:ascii="Arial" w:eastAsiaTheme="minorHAnsi" w:hAnsi="Arial" w:cs="Arial"/>
                <w:b/>
                <w:lang w:eastAsia="en-US"/>
              </w:rPr>
            </w:pPr>
          </w:p>
          <w:p w14:paraId="69A1D9A9" w14:textId="77777777" w:rsidR="00434559" w:rsidRDefault="00434559">
            <w:pPr>
              <w:widowControl w:val="0"/>
            </w:pPr>
          </w:p>
        </w:tc>
      </w:tr>
      <w:tr w:rsidR="00434559" w14:paraId="32484FA9" w14:textId="77777777">
        <w:trPr>
          <w:trHeight w:val="707"/>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C14CDFA" w14:textId="77777777" w:rsidR="00434559" w:rsidRDefault="008F6152">
            <w:pPr>
              <w:widowControl w:val="0"/>
              <w:tabs>
                <w:tab w:val="left" w:pos="1418"/>
              </w:tabs>
              <w:spacing w:after="120"/>
              <w:rPr>
                <w:rFonts w:ascii="Arial" w:hAnsi="Arial" w:cs="Arial"/>
              </w:rPr>
            </w:pPr>
            <w:r>
              <w:rPr>
                <w:rFonts w:ascii="Arial" w:hAnsi="Arial" w:cs="Arial"/>
              </w:rPr>
              <w:lastRenderedPageBreak/>
              <w:t>CGL 16.1</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52EDFB0" w14:textId="77777777" w:rsidR="00434559" w:rsidRDefault="008F6152">
            <w:pPr>
              <w:widowControl w:val="0"/>
              <w:tabs>
                <w:tab w:val="left" w:pos="8187"/>
              </w:tabs>
              <w:spacing w:after="120"/>
              <w:rPr>
                <w:rFonts w:ascii="Arial" w:hAnsi="Arial" w:cs="Arial"/>
              </w:rPr>
            </w:pPr>
            <w:r>
              <w:rPr>
                <w:rFonts w:ascii="Arial" w:hAnsi="Arial" w:cs="Arial"/>
              </w:rPr>
              <w:t>O adjudicatário terá o prazo de 05 (cinco) dias, após formalmente convocado, para assinar o contrato. Em não ocorrendo o contrato</w:t>
            </w:r>
            <w:r>
              <w:t xml:space="preserve">, </w:t>
            </w:r>
            <w:r>
              <w:rPr>
                <w:rFonts w:ascii="Arial" w:hAnsi="Arial" w:cs="Arial"/>
              </w:rPr>
              <w:t>será substituído pela Nota de empenho ou outra forma equivalente prevista em Lei.</w:t>
            </w:r>
          </w:p>
        </w:tc>
      </w:tr>
      <w:tr w:rsidR="00434559" w14:paraId="6875FF26" w14:textId="77777777">
        <w:trPr>
          <w:trHeight w:val="363"/>
        </w:trPr>
        <w:tc>
          <w:tcPr>
            <w:tcW w:w="1556" w:type="dxa"/>
            <w:tcBorders>
              <w:top w:val="single" w:sz="6" w:space="0" w:color="000000"/>
              <w:left w:val="single" w:sz="6" w:space="0" w:color="000000"/>
              <w:bottom w:val="single" w:sz="6" w:space="0" w:color="000000"/>
              <w:right w:val="single" w:sz="6" w:space="0" w:color="000000"/>
            </w:tcBorders>
          </w:tcPr>
          <w:p w14:paraId="1B24CF61" w14:textId="77777777" w:rsidR="00434559" w:rsidRDefault="008F6152">
            <w:pPr>
              <w:widowControl w:val="0"/>
              <w:tabs>
                <w:tab w:val="left" w:pos="1418"/>
              </w:tabs>
              <w:spacing w:line="252" w:lineRule="auto"/>
              <w:rPr>
                <w:rFonts w:ascii="Arial" w:hAnsi="Arial" w:cs="Arial"/>
              </w:rPr>
            </w:pPr>
            <w:r>
              <w:rPr>
                <w:rFonts w:ascii="Arial" w:hAnsi="Arial" w:cs="Arial"/>
              </w:rPr>
              <w:t>CGL 16.4</w:t>
            </w:r>
          </w:p>
        </w:tc>
        <w:tc>
          <w:tcPr>
            <w:tcW w:w="8958" w:type="dxa"/>
            <w:tcBorders>
              <w:top w:val="single" w:sz="6" w:space="0" w:color="000000"/>
              <w:left w:val="single" w:sz="6" w:space="0" w:color="000000"/>
              <w:bottom w:val="single" w:sz="6" w:space="0" w:color="000000"/>
              <w:right w:val="single" w:sz="6" w:space="0" w:color="000000"/>
            </w:tcBorders>
          </w:tcPr>
          <w:p w14:paraId="6E346C91" w14:textId="77777777" w:rsidR="00434559" w:rsidRDefault="008F6152">
            <w:pPr>
              <w:widowControl w:val="0"/>
              <w:tabs>
                <w:tab w:val="left" w:pos="8187"/>
              </w:tabs>
              <w:spacing w:after="120"/>
              <w:rPr>
                <w:rFonts w:ascii="Arial" w:hAnsi="Arial" w:cs="Arial"/>
                <w:bCs/>
              </w:rPr>
            </w:pPr>
            <w:r>
              <w:rPr>
                <w:rFonts w:ascii="Arial" w:hAnsi="Arial" w:cs="Arial"/>
                <w:bCs/>
              </w:rPr>
              <w:t xml:space="preserve">Para aquisição de bens/materiais: </w:t>
            </w:r>
          </w:p>
          <w:p w14:paraId="6C35D695" w14:textId="77777777" w:rsidR="00434559" w:rsidRDefault="008F6152">
            <w:pPr>
              <w:widowControl w:val="0"/>
              <w:tabs>
                <w:tab w:val="left" w:pos="8187"/>
              </w:tabs>
              <w:rPr>
                <w:rFonts w:ascii="Arial" w:hAnsi="Arial" w:cs="Arial"/>
              </w:rPr>
            </w:pPr>
            <w:r>
              <w:rPr>
                <w:rFonts w:ascii="Arial" w:hAnsi="Arial" w:cs="Arial"/>
              </w:rPr>
              <w:t>O prazo de vigência do contrato será o equivalente ao prazo de entrega estabelecido no Anexo V – Termo de Referência.</w:t>
            </w:r>
          </w:p>
        </w:tc>
      </w:tr>
      <w:tr w:rsidR="00434559" w14:paraId="58D3353E" w14:textId="77777777">
        <w:trPr>
          <w:trHeight w:val="142"/>
        </w:trPr>
        <w:tc>
          <w:tcPr>
            <w:tcW w:w="15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1CA39BC" w14:textId="77777777" w:rsidR="00434559" w:rsidRDefault="008F6152">
            <w:pPr>
              <w:widowControl w:val="0"/>
              <w:spacing w:line="252" w:lineRule="auto"/>
              <w:rPr>
                <w:rFonts w:ascii="Arial" w:hAnsi="Arial" w:cs="Arial"/>
              </w:rPr>
            </w:pPr>
            <w:r>
              <w:rPr>
                <w:rFonts w:ascii="Arial" w:hAnsi="Arial" w:cs="Arial"/>
              </w:rPr>
              <w:t>CGL 17.1</w:t>
            </w:r>
          </w:p>
        </w:tc>
        <w:tc>
          <w:tcPr>
            <w:tcW w:w="89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615AE7A" w14:textId="77777777" w:rsidR="00434559" w:rsidRDefault="008F6152">
            <w:pPr>
              <w:widowControl w:val="0"/>
              <w:tabs>
                <w:tab w:val="left" w:pos="8187"/>
              </w:tabs>
              <w:spacing w:after="120"/>
              <w:rPr>
                <w:rFonts w:ascii="Arial" w:hAnsi="Arial" w:cs="Arial"/>
              </w:rPr>
            </w:pPr>
            <w:r>
              <w:rPr>
                <w:rFonts w:ascii="Arial" w:hAnsi="Arial" w:cs="Arial"/>
              </w:rPr>
              <w:t xml:space="preserve">O pagamento deverá ser efetuado no prazo de 30 (trinta) dias mediante a apresentação de Nota Fiscal ou da Fatura pelo contratado, que deverá conter o </w:t>
            </w:r>
            <w:r>
              <w:rPr>
                <w:rFonts w:ascii="Arial" w:hAnsi="Arial" w:cs="Arial"/>
              </w:rPr>
              <w:lastRenderedPageBreak/>
              <w:t>detalhamento do objeto entregue.</w:t>
            </w:r>
          </w:p>
        </w:tc>
      </w:tr>
      <w:tr w:rsidR="00434559" w14:paraId="6EC02F28" w14:textId="77777777">
        <w:trPr>
          <w:trHeight w:val="142"/>
        </w:trPr>
        <w:tc>
          <w:tcPr>
            <w:tcW w:w="1556" w:type="dxa"/>
            <w:tcBorders>
              <w:top w:val="single" w:sz="6" w:space="0" w:color="000000"/>
              <w:left w:val="single" w:sz="6" w:space="0" w:color="000000"/>
              <w:bottom w:val="single" w:sz="6" w:space="0" w:color="000000"/>
              <w:right w:val="single" w:sz="6" w:space="0" w:color="000000"/>
            </w:tcBorders>
          </w:tcPr>
          <w:p w14:paraId="39AE6AD5" w14:textId="77777777" w:rsidR="00434559" w:rsidRDefault="008F6152">
            <w:pPr>
              <w:widowControl w:val="0"/>
              <w:spacing w:line="252" w:lineRule="auto"/>
              <w:rPr>
                <w:rFonts w:ascii="Arial" w:hAnsi="Arial" w:cs="Arial"/>
              </w:rPr>
            </w:pPr>
            <w:r>
              <w:rPr>
                <w:rFonts w:ascii="Arial" w:hAnsi="Arial" w:cs="Arial"/>
              </w:rPr>
              <w:lastRenderedPageBreak/>
              <w:t>CGL 19.1</w:t>
            </w:r>
          </w:p>
        </w:tc>
        <w:tc>
          <w:tcPr>
            <w:tcW w:w="8958" w:type="dxa"/>
            <w:tcBorders>
              <w:top w:val="single" w:sz="6" w:space="0" w:color="000000"/>
              <w:left w:val="single" w:sz="6" w:space="0" w:color="000000"/>
              <w:bottom w:val="single" w:sz="6" w:space="0" w:color="000000"/>
              <w:right w:val="single" w:sz="6" w:space="0" w:color="000000"/>
            </w:tcBorders>
          </w:tcPr>
          <w:p w14:paraId="73454903" w14:textId="77777777" w:rsidR="00434559" w:rsidRDefault="008F6152">
            <w:pPr>
              <w:widowControl w:val="0"/>
              <w:tabs>
                <w:tab w:val="left" w:pos="8187"/>
              </w:tabs>
              <w:rPr>
                <w:rFonts w:ascii="Arial" w:hAnsi="Arial" w:cs="Arial"/>
              </w:rPr>
            </w:pPr>
            <w:r>
              <w:rPr>
                <w:rFonts w:ascii="Arial" w:hAnsi="Arial" w:cs="Arial"/>
              </w:rPr>
              <w:t xml:space="preserve">[Inserir Fonte de Recursos Orçamentários. Quando se tratar de recursos federais, conforme o caso, deverão ser atendidas as normas pertinentes à União.] </w:t>
            </w:r>
          </w:p>
          <w:p w14:paraId="440EFDE9" w14:textId="77777777" w:rsidR="00434559" w:rsidRDefault="008F6152">
            <w:pPr>
              <w:widowControl w:val="0"/>
              <w:tabs>
                <w:tab w:val="left" w:pos="8187"/>
              </w:tabs>
              <w:rPr>
                <w:rFonts w:ascii="Arial" w:hAnsi="Arial" w:cs="Arial"/>
              </w:rPr>
            </w:pPr>
            <w:r>
              <w:rPr>
                <w:rFonts w:ascii="Arial" w:hAnsi="Arial" w:cs="Arial"/>
              </w:rPr>
              <w:t xml:space="preserve">Unidade Orçamentária: ................. </w:t>
            </w:r>
          </w:p>
          <w:p w14:paraId="0E2FBD5F" w14:textId="77777777" w:rsidR="00434559" w:rsidRDefault="008F6152">
            <w:pPr>
              <w:widowControl w:val="0"/>
              <w:tabs>
                <w:tab w:val="left" w:pos="8187"/>
              </w:tabs>
              <w:rPr>
                <w:rFonts w:ascii="Arial" w:hAnsi="Arial" w:cs="Arial"/>
              </w:rPr>
            </w:pPr>
            <w:r>
              <w:rPr>
                <w:rFonts w:ascii="Arial" w:hAnsi="Arial" w:cs="Arial"/>
              </w:rPr>
              <w:t xml:space="preserve">Atividade/Projeto: ..................... </w:t>
            </w:r>
          </w:p>
          <w:p w14:paraId="5880A44D" w14:textId="77777777" w:rsidR="00434559" w:rsidRDefault="008F6152">
            <w:pPr>
              <w:widowControl w:val="0"/>
              <w:tabs>
                <w:tab w:val="left" w:pos="8187"/>
              </w:tabs>
              <w:rPr>
                <w:rFonts w:ascii="Arial" w:hAnsi="Arial" w:cs="Arial"/>
              </w:rPr>
            </w:pPr>
            <w:r>
              <w:rPr>
                <w:rFonts w:ascii="Arial" w:hAnsi="Arial" w:cs="Arial"/>
              </w:rPr>
              <w:t xml:space="preserve">Natureza da Despesa – NAD: ................ </w:t>
            </w:r>
          </w:p>
          <w:p w14:paraId="5A2C000D" w14:textId="77777777" w:rsidR="00434559" w:rsidRDefault="008F6152">
            <w:pPr>
              <w:widowControl w:val="0"/>
              <w:tabs>
                <w:tab w:val="left" w:pos="8187"/>
              </w:tabs>
              <w:rPr>
                <w:rFonts w:ascii="Arial" w:hAnsi="Arial" w:cs="Arial"/>
              </w:rPr>
            </w:pPr>
            <w:r>
              <w:rPr>
                <w:rFonts w:ascii="Arial" w:hAnsi="Arial" w:cs="Arial"/>
              </w:rPr>
              <w:t xml:space="preserve">Recurso: .................... </w:t>
            </w:r>
          </w:p>
          <w:p w14:paraId="650AEA02" w14:textId="77777777" w:rsidR="00434559" w:rsidRDefault="008F6152">
            <w:pPr>
              <w:widowControl w:val="0"/>
              <w:tabs>
                <w:tab w:val="left" w:pos="8187"/>
              </w:tabs>
              <w:rPr>
                <w:rFonts w:ascii="Arial" w:hAnsi="Arial" w:cs="Arial"/>
              </w:rPr>
            </w:pPr>
            <w:r>
              <w:rPr>
                <w:rFonts w:ascii="Arial" w:hAnsi="Arial" w:cs="Arial"/>
              </w:rPr>
              <w:t>[OBS: as entidades que não usam a classificação da despesa estabelecida pela Lei federal nº 4.320/1964, deverão indicar o recurso de acordo com a sua classificação.]</w:t>
            </w:r>
          </w:p>
        </w:tc>
      </w:tr>
      <w:tr w:rsidR="00434559" w14:paraId="71FEA054" w14:textId="77777777">
        <w:trPr>
          <w:trHeight w:val="417"/>
        </w:trPr>
        <w:tc>
          <w:tcPr>
            <w:tcW w:w="1556" w:type="dxa"/>
            <w:tcBorders>
              <w:top w:val="single" w:sz="6" w:space="0" w:color="000000"/>
              <w:left w:val="single" w:sz="6" w:space="0" w:color="000000"/>
              <w:bottom w:val="single" w:sz="6" w:space="0" w:color="000000"/>
              <w:right w:val="single" w:sz="6" w:space="0" w:color="000000"/>
            </w:tcBorders>
          </w:tcPr>
          <w:p w14:paraId="5DDE08F7" w14:textId="77777777" w:rsidR="00434559" w:rsidRDefault="008F6152">
            <w:pPr>
              <w:widowControl w:val="0"/>
              <w:spacing w:line="252" w:lineRule="auto"/>
              <w:rPr>
                <w:rFonts w:ascii="Arial" w:hAnsi="Arial" w:cs="Arial"/>
              </w:rPr>
            </w:pPr>
            <w:r>
              <w:rPr>
                <w:rFonts w:ascii="Arial" w:hAnsi="Arial" w:cs="Arial"/>
              </w:rPr>
              <w:t>CGL 20.1</w:t>
            </w:r>
          </w:p>
        </w:tc>
        <w:tc>
          <w:tcPr>
            <w:tcW w:w="8958" w:type="dxa"/>
            <w:tcBorders>
              <w:top w:val="single" w:sz="6" w:space="0" w:color="000000"/>
              <w:left w:val="single" w:sz="6" w:space="0" w:color="000000"/>
              <w:bottom w:val="single" w:sz="6" w:space="0" w:color="000000"/>
              <w:right w:val="single" w:sz="6" w:space="0" w:color="000000"/>
            </w:tcBorders>
          </w:tcPr>
          <w:p w14:paraId="2A0ADA40" w14:textId="77777777" w:rsidR="00434559" w:rsidRDefault="008F6152">
            <w:pPr>
              <w:widowControl w:val="0"/>
              <w:tabs>
                <w:tab w:val="left" w:pos="8187"/>
              </w:tabs>
              <w:rPr>
                <w:rFonts w:ascii="Arial" w:hAnsi="Arial" w:cs="Arial"/>
              </w:rPr>
            </w:pPr>
            <w:r>
              <w:rPr>
                <w:rFonts w:ascii="Arial" w:hAnsi="Arial" w:cs="Arial"/>
              </w:rPr>
              <w:t>[Indicar demais obrigações do contratado que sejam específicas ao objeto contratual e que não constem na Cláusula Décima da Minuta de Contrato.]</w:t>
            </w:r>
          </w:p>
          <w:p w14:paraId="7D63A003" w14:textId="77777777" w:rsidR="00434559" w:rsidRDefault="00434559">
            <w:pPr>
              <w:widowControl w:val="0"/>
              <w:tabs>
                <w:tab w:val="left" w:pos="8187"/>
              </w:tabs>
              <w:rPr>
                <w:rFonts w:ascii="Arial" w:hAnsi="Arial" w:cs="Arial"/>
              </w:rPr>
            </w:pPr>
          </w:p>
        </w:tc>
      </w:tr>
      <w:tr w:rsidR="00434559" w14:paraId="7696706E" w14:textId="77777777">
        <w:trPr>
          <w:trHeight w:val="409"/>
        </w:trPr>
        <w:tc>
          <w:tcPr>
            <w:tcW w:w="1556" w:type="dxa"/>
            <w:tcBorders>
              <w:top w:val="single" w:sz="6" w:space="0" w:color="000000"/>
              <w:left w:val="single" w:sz="6" w:space="0" w:color="000000"/>
              <w:bottom w:val="single" w:sz="6" w:space="0" w:color="000000"/>
              <w:right w:val="single" w:sz="6" w:space="0" w:color="000000"/>
            </w:tcBorders>
          </w:tcPr>
          <w:p w14:paraId="50599F7D" w14:textId="77777777" w:rsidR="00434559" w:rsidRDefault="008F6152">
            <w:pPr>
              <w:widowControl w:val="0"/>
              <w:spacing w:line="252" w:lineRule="auto"/>
              <w:rPr>
                <w:rFonts w:ascii="Arial" w:hAnsi="Arial" w:cs="Arial"/>
              </w:rPr>
            </w:pPr>
            <w:r>
              <w:rPr>
                <w:rFonts w:ascii="Arial" w:hAnsi="Arial" w:cs="Arial"/>
              </w:rPr>
              <w:t>CGL 21.1</w:t>
            </w:r>
          </w:p>
        </w:tc>
        <w:tc>
          <w:tcPr>
            <w:tcW w:w="8958" w:type="dxa"/>
            <w:tcBorders>
              <w:top w:val="single" w:sz="6" w:space="0" w:color="000000"/>
              <w:left w:val="single" w:sz="6" w:space="0" w:color="000000"/>
              <w:bottom w:val="single" w:sz="6" w:space="0" w:color="000000"/>
              <w:right w:val="single" w:sz="6" w:space="0" w:color="000000"/>
            </w:tcBorders>
          </w:tcPr>
          <w:p w14:paraId="19486AAF" w14:textId="77777777" w:rsidR="00434559" w:rsidRDefault="008F6152">
            <w:pPr>
              <w:widowControl w:val="0"/>
              <w:spacing w:after="240"/>
              <w:rPr>
                <w:rFonts w:ascii="Arial" w:hAnsi="Arial" w:cs="Arial"/>
                <w:b/>
              </w:rPr>
            </w:pPr>
            <w:r>
              <w:rPr>
                <w:rFonts w:ascii="Arial" w:hAnsi="Arial" w:cs="Arial"/>
                <w:b/>
              </w:rPr>
              <w:t>PADRÃO:</w:t>
            </w:r>
          </w:p>
          <w:p w14:paraId="0A31811C" w14:textId="77777777" w:rsidR="00434559" w:rsidRDefault="008F6152">
            <w:pPr>
              <w:widowControl w:val="0"/>
              <w:spacing w:before="240" w:after="240"/>
              <w:ind w:right="-1"/>
              <w:rPr>
                <w:rFonts w:ascii="Arial" w:hAnsi="Arial" w:cs="Arial"/>
              </w:rPr>
            </w:pPr>
            <w:r>
              <w:rPr>
                <w:rFonts w:ascii="Arial" w:hAnsi="Arial" w:cs="Arial"/>
              </w:rPr>
              <w:t>Não será solicitada Garantia de Cumprimento do Contrato</w:t>
            </w:r>
          </w:p>
          <w:p w14:paraId="2832D83B" w14:textId="77777777" w:rsidR="00434559" w:rsidRDefault="00434559">
            <w:pPr>
              <w:widowControl w:val="0"/>
              <w:spacing w:before="240" w:after="240"/>
              <w:ind w:right="-1"/>
              <w:rPr>
                <w:rFonts w:ascii="Arial" w:hAnsi="Arial" w:cs="Arial"/>
              </w:rPr>
            </w:pPr>
          </w:p>
          <w:p w14:paraId="419E06BB" w14:textId="77777777" w:rsidR="00434559" w:rsidRPr="008F6152" w:rsidRDefault="008F6152">
            <w:pPr>
              <w:widowControl w:val="0"/>
              <w:spacing w:before="240" w:after="240"/>
              <w:ind w:right="-1"/>
              <w:rPr>
                <w:rFonts w:ascii="Arial" w:hAnsi="Arial" w:cs="Arial"/>
                <w:color w:val="EE0000"/>
              </w:rPr>
            </w:pPr>
            <w:r w:rsidRPr="008F6152">
              <w:rPr>
                <w:rFonts w:ascii="Arial" w:hAnsi="Arial" w:cs="Arial"/>
                <w:color w:val="EE0000"/>
              </w:rPr>
              <w:t>"</w:t>
            </w:r>
            <w:r w:rsidRPr="008F6152">
              <w:rPr>
                <w:rStyle w:val="nfaseforte"/>
                <w:rFonts w:ascii="Arial" w:hAnsi="Arial" w:cs="Arial"/>
                <w:color w:val="EE0000"/>
              </w:rPr>
              <w:t>Caso seja solicitada Garantia, incluir justificativa no processo, e preencher os itens C e I abaixo."</w:t>
            </w:r>
            <w:r w:rsidRPr="008F6152">
              <w:rPr>
                <w:rFonts w:ascii="Arial" w:hAnsi="Arial" w:cs="Arial"/>
                <w:color w:val="EE0000"/>
              </w:rPr>
              <w:t xml:space="preserve"> </w:t>
            </w:r>
          </w:p>
          <w:p w14:paraId="66750FB8" w14:textId="77777777" w:rsidR="00434559" w:rsidRPr="008F6152" w:rsidRDefault="008F6152">
            <w:pPr>
              <w:widowControl w:val="0"/>
              <w:spacing w:before="240" w:after="240"/>
              <w:ind w:right="-1"/>
              <w:rPr>
                <w:rFonts w:ascii="Arial" w:hAnsi="Arial" w:cs="Arial"/>
                <w:b/>
                <w:color w:val="EE0000"/>
              </w:rPr>
            </w:pPr>
            <w:r w:rsidRPr="008F6152">
              <w:rPr>
                <w:rFonts w:ascii="Arial" w:hAnsi="Arial" w:cs="Arial"/>
                <w:b/>
                <w:color w:val="EE0000"/>
              </w:rPr>
              <w:t xml:space="preserve">[Informar no item i, </w:t>
            </w:r>
            <w:r w:rsidRPr="008F6152">
              <w:rPr>
                <w:rFonts w:ascii="Arial" w:hAnsi="Arial" w:cs="Arial"/>
                <w:b/>
                <w:bCs/>
                <w:color w:val="EE0000"/>
              </w:rPr>
              <w:t>a conta corrente específica para depósito do valor a ser caucionado, registrada pela Secretaria da Fazenda, ou através de Guia de Arrecadação com o código de arrecadação específico para tal finalidade</w:t>
            </w:r>
            <w:r w:rsidRPr="008F6152">
              <w:rPr>
                <w:rFonts w:ascii="Arial" w:hAnsi="Arial" w:cs="Arial"/>
                <w:b/>
                <w:color w:val="EE0000"/>
              </w:rPr>
              <w:t>]</w:t>
            </w:r>
          </w:p>
          <w:p w14:paraId="33E8F33D" w14:textId="77777777" w:rsidR="00434559" w:rsidRDefault="00434559">
            <w:pPr>
              <w:widowControl w:val="0"/>
              <w:spacing w:before="240" w:after="240"/>
              <w:ind w:right="-1"/>
              <w:rPr>
                <w:rFonts w:ascii="Arial" w:hAnsi="Arial" w:cs="Arial"/>
                <w:b/>
              </w:rPr>
            </w:pPr>
          </w:p>
          <w:p w14:paraId="0AC84C7F" w14:textId="77777777" w:rsidR="00434559" w:rsidRDefault="008F6152">
            <w:pPr>
              <w:widowControl w:val="0"/>
              <w:spacing w:before="240" w:after="240"/>
              <w:ind w:right="-1"/>
              <w:rPr>
                <w:rFonts w:ascii="Arial" w:hAnsi="Arial" w:cs="Arial"/>
              </w:rPr>
            </w:pPr>
            <w:r>
              <w:rPr>
                <w:rFonts w:ascii="Arial" w:hAnsi="Arial" w:cs="Arial"/>
              </w:rPr>
              <w:t>Será solicitada Garantia de Cumprimento do Contrato</w:t>
            </w:r>
          </w:p>
          <w:p w14:paraId="412B55BD" w14:textId="77777777" w:rsidR="00434559" w:rsidRDefault="008F6152">
            <w:pPr>
              <w:widowControl w:val="0"/>
              <w:spacing w:before="240" w:after="240"/>
              <w:ind w:left="397"/>
              <w:rPr>
                <w:rFonts w:ascii="Arial" w:hAnsi="Arial" w:cs="Arial"/>
              </w:rPr>
            </w:pPr>
            <w:r>
              <w:rPr>
                <w:rFonts w:ascii="Arial" w:hAnsi="Arial" w:cs="Arial"/>
              </w:rPr>
              <w:t xml:space="preserve">a) A garantia poderá ser realizada em uma das seguintes modalidades: </w:t>
            </w:r>
          </w:p>
          <w:p w14:paraId="368516F1" w14:textId="77777777" w:rsidR="00434559" w:rsidRDefault="008F6152">
            <w:pPr>
              <w:widowControl w:val="0"/>
              <w:spacing w:before="240" w:after="240"/>
              <w:ind w:left="397"/>
              <w:rPr>
                <w:rFonts w:ascii="Arial" w:hAnsi="Arial" w:cs="Arial"/>
              </w:rPr>
            </w:pPr>
            <w:r>
              <w:rPr>
                <w:rFonts w:ascii="Arial" w:hAnsi="Arial" w:cs="Arial"/>
              </w:rPr>
              <w:t xml:space="preserve">I - </w:t>
            </w:r>
            <w:proofErr w:type="gramStart"/>
            <w:r>
              <w:rPr>
                <w:rFonts w:ascii="Arial" w:hAnsi="Arial" w:cs="Arial"/>
              </w:rPr>
              <w:t>caução</w:t>
            </w:r>
            <w:proofErr w:type="gramEnd"/>
            <w:r>
              <w:rPr>
                <w:rFonts w:ascii="Arial" w:hAnsi="Arial" w:cs="Arial"/>
              </w:rPr>
              <w:t xml:space="preserve">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2ACDE8E1" w14:textId="77777777" w:rsidR="00434559" w:rsidRDefault="008F6152">
            <w:pPr>
              <w:widowControl w:val="0"/>
              <w:spacing w:before="240" w:after="240"/>
              <w:ind w:left="397"/>
              <w:rPr>
                <w:rFonts w:ascii="Arial" w:hAnsi="Arial" w:cs="Arial"/>
              </w:rPr>
            </w:pPr>
            <w:r>
              <w:rPr>
                <w:rFonts w:ascii="Arial" w:hAnsi="Arial" w:cs="Arial"/>
              </w:rPr>
              <w:t xml:space="preserve">II - </w:t>
            </w:r>
            <w:proofErr w:type="gramStart"/>
            <w:r>
              <w:rPr>
                <w:rFonts w:ascii="Arial" w:hAnsi="Arial" w:cs="Arial"/>
              </w:rPr>
              <w:t>seguro-garantia</w:t>
            </w:r>
            <w:proofErr w:type="gramEnd"/>
            <w:r>
              <w:rPr>
                <w:rFonts w:ascii="Arial" w:hAnsi="Arial" w:cs="Arial"/>
              </w:rPr>
              <w:t xml:space="preserve">, conforme Circular SUSEP nº 662 de 11 de abril de 2022; </w:t>
            </w:r>
          </w:p>
          <w:p w14:paraId="386BC499" w14:textId="77777777" w:rsidR="00434559" w:rsidRDefault="008F6152">
            <w:pPr>
              <w:widowControl w:val="0"/>
              <w:spacing w:before="240" w:after="240"/>
              <w:ind w:left="397"/>
              <w:rPr>
                <w:rFonts w:ascii="Arial" w:hAnsi="Arial" w:cs="Arial"/>
              </w:rPr>
            </w:pPr>
            <w:r>
              <w:rPr>
                <w:rFonts w:ascii="Arial" w:hAnsi="Arial" w:cs="Arial"/>
              </w:rPr>
              <w:t>III - fiança bancária emitida por banco ou instituição financeira devidamente autorizada a operar no País pelo Banco Central do Brasil.</w:t>
            </w:r>
          </w:p>
          <w:p w14:paraId="1961F8A7" w14:textId="77777777" w:rsidR="00434559" w:rsidRDefault="008F6152">
            <w:pPr>
              <w:widowControl w:val="0"/>
              <w:spacing w:before="240" w:after="240"/>
              <w:ind w:left="397"/>
              <w:rPr>
                <w:rFonts w:ascii="Arial" w:hAnsi="Arial" w:cs="Arial"/>
              </w:rPr>
            </w:pPr>
            <w:r>
              <w:rPr>
                <w:rFonts w:ascii="Arial" w:hAnsi="Arial" w:cs="Arial"/>
              </w:rPr>
              <w:t>b) O prazo para apresentação de qualquer uma das garantias será o previsto na CGL 16.1;</w:t>
            </w:r>
          </w:p>
          <w:p w14:paraId="5E8CD4B1" w14:textId="77777777" w:rsidR="00434559" w:rsidRDefault="008F6152">
            <w:pPr>
              <w:pStyle w:val="PargrafodaLista"/>
              <w:widowControl w:val="0"/>
              <w:spacing w:before="240" w:after="240"/>
              <w:ind w:left="1304" w:hanging="462"/>
              <w:rPr>
                <w:rFonts w:ascii="Arial" w:hAnsi="Arial" w:cs="Arial"/>
              </w:rPr>
            </w:pPr>
            <w:r>
              <w:rPr>
                <w:rFonts w:ascii="Arial" w:hAnsi="Arial" w:cs="Arial"/>
              </w:rPr>
              <w:t>b.1) O prazo para apresentação da garantia poderá ser prorrogado por igual período a critério do contratante.</w:t>
            </w:r>
          </w:p>
          <w:p w14:paraId="5BC862B7" w14:textId="77777777" w:rsidR="00434559" w:rsidRDefault="008F6152">
            <w:pPr>
              <w:pStyle w:val="PargrafodaLista"/>
              <w:widowControl w:val="0"/>
              <w:spacing w:before="240" w:after="240"/>
              <w:ind w:left="1304" w:hanging="462"/>
              <w:rPr>
                <w:rFonts w:ascii="Arial" w:hAnsi="Arial" w:cs="Arial"/>
              </w:rPr>
            </w:pPr>
            <w:r>
              <w:rPr>
                <w:rFonts w:ascii="Arial" w:hAnsi="Arial" w:cs="Arial"/>
              </w:rPr>
              <w:lastRenderedPageBreak/>
              <w:t xml:space="preserve"> b.2) A inobservância do prazo fixado, inclusive dos previstos nos itens “i”, “l” e “o”, acarretará a aplicação de multa de 0,07% (sete centésimos por cento) do valor total do contrato por dia de atraso, até o máximo de 2% (dois por cento).</w:t>
            </w:r>
          </w:p>
          <w:p w14:paraId="317FED35" w14:textId="77777777" w:rsidR="00434559" w:rsidRDefault="008F6152">
            <w:pPr>
              <w:widowControl w:val="0"/>
              <w:spacing w:before="240" w:after="240"/>
              <w:ind w:left="1304" w:hanging="462"/>
              <w:rPr>
                <w:rFonts w:ascii="Arial" w:hAnsi="Arial" w:cs="Arial"/>
                <w:bCs/>
              </w:rPr>
            </w:pPr>
            <w:r>
              <w:rPr>
                <w:rFonts w:ascii="Arial" w:hAnsi="Arial" w:cs="Arial"/>
              </w:rPr>
              <w:t xml:space="preserve">b.3) O atraso na apresentação da </w:t>
            </w:r>
            <w:r>
              <w:rPr>
                <w:rFonts w:ascii="Arial" w:hAnsi="Arial" w:cs="Arial"/>
                <w:bCs/>
              </w:rPr>
              <w:t xml:space="preserve">garantia autoriza a Administração a promover a rescisão do contrato por descumprimento ou cumprimento irregular de suas cláusulas, conforme dispõem os incisos I e II do art. 137 da Lei Federal nº 14.133/2021. </w:t>
            </w:r>
          </w:p>
          <w:p w14:paraId="13BBE538" w14:textId="77777777" w:rsidR="00434559" w:rsidRDefault="008F6152">
            <w:pPr>
              <w:widowControl w:val="0"/>
              <w:spacing w:before="240" w:after="240"/>
              <w:ind w:left="397"/>
              <w:rPr>
                <w:rFonts w:ascii="Arial" w:hAnsi="Arial" w:cs="Arial"/>
                <w:color w:val="FF0000"/>
              </w:rPr>
            </w:pPr>
            <w:r>
              <w:rPr>
                <w:rFonts w:ascii="Arial" w:hAnsi="Arial" w:cs="Arial"/>
                <w:color w:val="FF0000"/>
              </w:rPr>
              <w:t xml:space="preserve">c) A garantia deverá ser prestada no valor correspondente a ........ % </w:t>
            </w:r>
            <w:proofErr w:type="gramStart"/>
            <w:r>
              <w:rPr>
                <w:rFonts w:ascii="Arial" w:hAnsi="Arial" w:cs="Arial"/>
                <w:color w:val="FF0000"/>
              </w:rPr>
              <w:t>( .....................</w:t>
            </w:r>
            <w:proofErr w:type="gramEnd"/>
            <w:r>
              <w:rPr>
                <w:rFonts w:ascii="Arial" w:hAnsi="Arial" w:cs="Arial"/>
                <w:color w:val="FF0000"/>
              </w:rPr>
              <w:t xml:space="preserve"> ) [não excedendo a 5%] do valor total contratado, que será liberada após a execução do objeto da avença, conforme disposto no art. 96 da Lei federal nº 14.133/2021, desde que cumpridas as obrigações contratuais.  </w:t>
            </w:r>
          </w:p>
          <w:p w14:paraId="2A555C74" w14:textId="77777777" w:rsidR="00434559" w:rsidRDefault="008F6152">
            <w:pPr>
              <w:widowControl w:val="0"/>
              <w:spacing w:before="240" w:after="240"/>
              <w:ind w:left="397" w:right="-1"/>
              <w:rPr>
                <w:rFonts w:ascii="Arial" w:hAnsi="Arial" w:cs="Arial"/>
              </w:rPr>
            </w:pPr>
            <w:r>
              <w:rPr>
                <w:rFonts w:ascii="Arial" w:hAnsi="Arial" w:cs="Arial"/>
              </w:rPr>
              <w:t xml:space="preserve">d) O número do contrato deverá constar dos instrumentos de garantia a serem apresentados pelo garantidor.  </w:t>
            </w:r>
          </w:p>
          <w:p w14:paraId="27C89014" w14:textId="77777777" w:rsidR="00434559" w:rsidRDefault="008F6152">
            <w:pPr>
              <w:widowControl w:val="0"/>
              <w:spacing w:before="240" w:after="240"/>
              <w:ind w:left="397" w:right="-1"/>
              <w:rPr>
                <w:rFonts w:ascii="Arial" w:hAnsi="Arial" w:cs="Arial"/>
              </w:rPr>
            </w:pPr>
            <w:r>
              <w:rPr>
                <w:rFonts w:ascii="Arial" w:hAnsi="Arial" w:cs="Arial"/>
              </w:rPr>
              <w:t>e) Quando da abertura de processos para apuração de faltas contratuais, a fiscalização do contrato deverá notificar o fato à entidade garantidora, paralelamente às notificações para defesa prévia ao contratado.</w:t>
            </w:r>
          </w:p>
          <w:p w14:paraId="544C231C" w14:textId="77777777" w:rsidR="00434559" w:rsidRDefault="008F6152">
            <w:pPr>
              <w:widowControl w:val="0"/>
              <w:spacing w:before="240" w:after="240"/>
              <w:ind w:left="397" w:right="-1"/>
              <w:rPr>
                <w:rFonts w:ascii="Arial" w:hAnsi="Arial" w:cs="Arial"/>
              </w:rPr>
            </w:pPr>
            <w:r>
              <w:rPr>
                <w:rFonts w:ascii="Arial" w:hAnsi="Arial" w:cs="Arial"/>
              </w:rPr>
              <w:t>f) A perda da garantia em favor da Administração, em decorrência de rescisão unilateral do contrato, far-se-á de pleno direito, independentemente de qualquer procedimento judicial e sem prejuízo das demais sanções previstas no contrato.</w:t>
            </w:r>
          </w:p>
          <w:p w14:paraId="07EBCCD5" w14:textId="77777777" w:rsidR="00434559" w:rsidRDefault="008F6152">
            <w:pPr>
              <w:widowControl w:val="0"/>
              <w:spacing w:before="240" w:after="240"/>
              <w:ind w:left="397" w:right="-1"/>
              <w:rPr>
                <w:rFonts w:ascii="Arial" w:hAnsi="Arial" w:cs="Arial"/>
              </w:rPr>
            </w:pPr>
            <w:r>
              <w:rPr>
                <w:rFonts w:ascii="Arial" w:hAnsi="Arial" w:cs="Arial"/>
              </w:rPr>
              <w:t>g) A garantia deverá ser integralizada no prazo máximo de 10 (dez) dias, sempre que dela forem deduzidos quaisquer valores ou quando houver alteração para acréscimo de objeto.</w:t>
            </w:r>
          </w:p>
          <w:p w14:paraId="7C1DAAD1" w14:textId="77777777" w:rsidR="00434559" w:rsidRDefault="008F6152">
            <w:pPr>
              <w:widowControl w:val="0"/>
              <w:spacing w:before="240" w:after="240"/>
              <w:ind w:left="397" w:right="-1"/>
              <w:rPr>
                <w:rFonts w:ascii="Arial" w:hAnsi="Arial" w:cs="Arial"/>
              </w:rPr>
            </w:pPr>
            <w:r>
              <w:rPr>
                <w:rFonts w:ascii="Arial" w:hAnsi="Arial" w:cs="Arial"/>
              </w:rPr>
              <w:t xml:space="preserve">h) A garantia assegurará, qualquer que seja a modalidade escolhida, o pagamento de: </w:t>
            </w:r>
          </w:p>
          <w:p w14:paraId="192F10E9" w14:textId="77777777" w:rsidR="00434559" w:rsidRDefault="008F6152">
            <w:pPr>
              <w:widowControl w:val="0"/>
              <w:spacing w:before="240" w:after="240"/>
              <w:ind w:left="397" w:right="-1"/>
              <w:rPr>
                <w:rFonts w:ascii="Arial" w:hAnsi="Arial" w:cs="Arial"/>
              </w:rPr>
            </w:pPr>
            <w:r>
              <w:rPr>
                <w:rFonts w:ascii="Arial" w:hAnsi="Arial" w:cs="Arial"/>
              </w:rPr>
              <w:t xml:space="preserve">I - </w:t>
            </w:r>
            <w:proofErr w:type="gramStart"/>
            <w:r>
              <w:rPr>
                <w:rFonts w:ascii="Arial" w:hAnsi="Arial" w:cs="Arial"/>
              </w:rPr>
              <w:t>prejuízo</w:t>
            </w:r>
            <w:proofErr w:type="gramEnd"/>
            <w:r>
              <w:rPr>
                <w:rFonts w:ascii="Arial" w:hAnsi="Arial" w:cs="Arial"/>
              </w:rPr>
              <w:t xml:space="preserve"> advindo do não cumprimento do objeto do contrato e do não adimplemento das demais obrigações nele previstas; </w:t>
            </w:r>
          </w:p>
          <w:p w14:paraId="3DA86D39" w14:textId="77777777" w:rsidR="00434559" w:rsidRDefault="008F6152">
            <w:pPr>
              <w:widowControl w:val="0"/>
              <w:spacing w:before="240" w:after="240"/>
              <w:ind w:left="397" w:right="-1"/>
              <w:rPr>
                <w:rFonts w:ascii="Arial" w:hAnsi="Arial" w:cs="Arial"/>
              </w:rPr>
            </w:pPr>
            <w:r>
              <w:rPr>
                <w:rFonts w:ascii="Arial" w:hAnsi="Arial" w:cs="Arial"/>
              </w:rPr>
              <w:t xml:space="preserve">II - </w:t>
            </w:r>
            <w:proofErr w:type="gramStart"/>
            <w:r>
              <w:rPr>
                <w:rFonts w:ascii="Arial" w:hAnsi="Arial" w:cs="Arial"/>
              </w:rPr>
              <w:t>prejuízos</w:t>
            </w:r>
            <w:proofErr w:type="gramEnd"/>
            <w:r>
              <w:rPr>
                <w:rFonts w:ascii="Arial" w:hAnsi="Arial" w:cs="Arial"/>
              </w:rPr>
              <w:t xml:space="preserve"> causados ao contratante ou a terceiro, decorrentes de culpa ou dolo durante a execução do contrato; </w:t>
            </w:r>
          </w:p>
          <w:p w14:paraId="0172EE7D" w14:textId="77777777" w:rsidR="00434559" w:rsidRDefault="008F6152">
            <w:pPr>
              <w:widowControl w:val="0"/>
              <w:spacing w:before="240" w:after="240"/>
              <w:ind w:left="397" w:right="-1"/>
              <w:rPr>
                <w:rFonts w:ascii="Arial" w:hAnsi="Arial" w:cs="Arial"/>
              </w:rPr>
            </w:pPr>
            <w:r>
              <w:rPr>
                <w:rFonts w:ascii="Arial" w:hAnsi="Arial" w:cs="Arial"/>
              </w:rPr>
              <w:t>III - multas moratórias e punitivas aplicadas pelo contratante ao contratado.</w:t>
            </w:r>
          </w:p>
          <w:p w14:paraId="3133EF87" w14:textId="77777777" w:rsidR="00434559" w:rsidRDefault="008F6152">
            <w:pPr>
              <w:pStyle w:val="PargrafodaLista"/>
              <w:widowControl w:val="0"/>
              <w:numPr>
                <w:ilvl w:val="0"/>
                <w:numId w:val="1"/>
              </w:numPr>
              <w:spacing w:before="240" w:after="240" w:line="360" w:lineRule="auto"/>
              <w:ind w:left="397" w:right="-1" w:firstLine="0"/>
              <w:contextualSpacing/>
              <w:jc w:val="both"/>
              <w:rPr>
                <w:rFonts w:ascii="Arial" w:hAnsi="Arial" w:cs="Arial"/>
                <w:color w:val="FF0000"/>
              </w:rPr>
            </w:pPr>
            <w:r>
              <w:rPr>
                <w:rFonts w:ascii="Arial" w:hAnsi="Arial" w:cs="Arial"/>
                <w:color w:val="FF0000"/>
              </w:rPr>
              <w:t>A garantia em dinheiro deverá ser efetuada em favor do contratante, [</w:t>
            </w:r>
            <w:r>
              <w:rPr>
                <w:rFonts w:ascii="Arial" w:hAnsi="Arial" w:cs="Arial"/>
                <w:b/>
                <w:bCs/>
                <w:color w:val="FF0000"/>
              </w:rPr>
              <w:t>na conta corrente...] / [através de Guia de Arrecadação com o código ...]</w:t>
            </w:r>
            <w:r>
              <w:rPr>
                <w:rFonts w:ascii="Arial" w:hAnsi="Arial" w:cs="Arial"/>
                <w:color w:val="FF0000"/>
              </w:rPr>
              <w:t xml:space="preserve"> </w:t>
            </w:r>
          </w:p>
          <w:p w14:paraId="3078D7C6" w14:textId="77777777" w:rsidR="00434559" w:rsidRDefault="008F6152">
            <w:pPr>
              <w:widowControl w:val="0"/>
              <w:spacing w:before="240" w:after="240"/>
              <w:ind w:left="397" w:right="-1"/>
              <w:rPr>
                <w:rFonts w:ascii="Arial" w:hAnsi="Arial" w:cs="Arial"/>
              </w:rPr>
            </w:pPr>
            <w:r>
              <w:rPr>
                <w:rFonts w:ascii="Arial" w:hAnsi="Arial" w:cs="Arial"/>
              </w:rPr>
              <w:t xml:space="preserve">j) No caso de alteração do valor do contrato, ou prorrogação de sua vigência, a garantia deverá ser ajustada à nova situação ou renovada, no prazo </w:t>
            </w:r>
            <w:r>
              <w:rPr>
                <w:rFonts w:ascii="Arial" w:hAnsi="Arial" w:cs="Arial"/>
              </w:rPr>
              <w:lastRenderedPageBreak/>
              <w:t xml:space="preserve">máximo de 10 (dez) dias, seguindo os mesmos parâmetros utilizados quando da contratação. </w:t>
            </w:r>
          </w:p>
          <w:p w14:paraId="26FAA215" w14:textId="77777777" w:rsidR="00434559" w:rsidRDefault="008F6152">
            <w:pPr>
              <w:widowControl w:val="0"/>
              <w:spacing w:before="240" w:after="240"/>
              <w:ind w:left="397" w:right="-1"/>
              <w:rPr>
                <w:rFonts w:ascii="Arial" w:hAnsi="Arial" w:cs="Arial"/>
              </w:rPr>
            </w:pPr>
            <w:r>
              <w:rPr>
                <w:rFonts w:ascii="Arial" w:hAnsi="Arial" w:cs="Arial"/>
              </w:rPr>
              <w:t xml:space="preserve">k) O contratante fica autorizado a utilizar a garantia para corrigir quaisquer imperfeições na execução do objeto do contrato ou para reparar danos decorrentes da ação ou omissão do contratado. </w:t>
            </w:r>
          </w:p>
          <w:p w14:paraId="7828C4F9" w14:textId="77777777" w:rsidR="00434559" w:rsidRDefault="008F6152">
            <w:pPr>
              <w:widowControl w:val="0"/>
              <w:spacing w:before="240" w:after="240"/>
              <w:ind w:left="397" w:right="-1"/>
              <w:rPr>
                <w:rFonts w:ascii="Arial" w:hAnsi="Arial" w:cs="Arial"/>
              </w:rPr>
            </w:pPr>
            <w:r>
              <w:rPr>
                <w:rFonts w:ascii="Arial" w:hAnsi="Arial" w:cs="Arial"/>
              </w:rPr>
              <w:t>k.1) A autorização contida neste subitem é extensiva aos casos de multas aplicadas depois de esgotado o prazo recursal.</w:t>
            </w:r>
          </w:p>
          <w:p w14:paraId="4F1975A3" w14:textId="77777777" w:rsidR="00434559" w:rsidRDefault="008F6152">
            <w:pPr>
              <w:widowControl w:val="0"/>
              <w:spacing w:before="240" w:after="240"/>
              <w:ind w:left="397" w:right="-1"/>
              <w:rPr>
                <w:rFonts w:ascii="Arial" w:hAnsi="Arial" w:cs="Arial"/>
              </w:rPr>
            </w:pPr>
            <w:r>
              <w:rPr>
                <w:rFonts w:ascii="Arial" w:hAnsi="Arial" w:cs="Arial"/>
              </w:rPr>
              <w:t>l) A garantia prestada será retida definitivamente, integralmente ou pelo saldo que apresentar, no caso de rescisão por culpa do contratado, sem prejuízo das penalidades cabíveis.</w:t>
            </w:r>
          </w:p>
          <w:p w14:paraId="1EC2C31C" w14:textId="77777777" w:rsidR="00434559" w:rsidRDefault="008F6152">
            <w:pPr>
              <w:widowControl w:val="0"/>
              <w:spacing w:before="240" w:after="240"/>
              <w:ind w:left="397" w:right="-1"/>
              <w:rPr>
                <w:rFonts w:ascii="Arial" w:hAnsi="Arial" w:cs="Arial"/>
              </w:rPr>
            </w:pPr>
            <w:r>
              <w:rPr>
                <w:rFonts w:ascii="Arial" w:hAnsi="Arial" w:cs="Arial"/>
              </w:rPr>
              <w:t>m) Se o valor da garantia for utilizado total ou parcialmente em pagamento de qualquer obrigação, o contratado se obriga a fazer a respectiva reposição, no prazo máximo de 10 (dez) dias, contados da data em que for notificado.</w:t>
            </w:r>
          </w:p>
          <w:p w14:paraId="30C3DB4B" w14:textId="77777777" w:rsidR="00434559" w:rsidRDefault="008F6152">
            <w:pPr>
              <w:widowControl w:val="0"/>
              <w:spacing w:before="240" w:after="240"/>
              <w:ind w:left="397" w:right="-1"/>
              <w:rPr>
                <w:rFonts w:ascii="Arial" w:hAnsi="Arial" w:cs="Arial"/>
              </w:rPr>
            </w:pPr>
            <w:r>
              <w:rPr>
                <w:rFonts w:ascii="Arial" w:hAnsi="Arial" w:cs="Arial"/>
              </w:rPr>
              <w:t xml:space="preserve">n) O contratante não executará a garantia na ocorrência de uma ou mais das seguintes hipóteses: </w:t>
            </w:r>
          </w:p>
          <w:p w14:paraId="64C0A915" w14:textId="77777777" w:rsidR="00434559" w:rsidRDefault="008F6152">
            <w:pPr>
              <w:widowControl w:val="0"/>
              <w:spacing w:before="240" w:after="240"/>
              <w:ind w:left="397" w:right="-1"/>
              <w:rPr>
                <w:rFonts w:ascii="Arial" w:hAnsi="Arial" w:cs="Arial"/>
              </w:rPr>
            </w:pPr>
            <w:r>
              <w:rPr>
                <w:rFonts w:ascii="Arial" w:hAnsi="Arial" w:cs="Arial"/>
              </w:rPr>
              <w:t xml:space="preserve">I - </w:t>
            </w:r>
            <w:proofErr w:type="gramStart"/>
            <w:r>
              <w:rPr>
                <w:rFonts w:ascii="Arial" w:hAnsi="Arial" w:cs="Arial"/>
              </w:rPr>
              <w:t>caso</w:t>
            </w:r>
            <w:proofErr w:type="gramEnd"/>
            <w:r>
              <w:rPr>
                <w:rFonts w:ascii="Arial" w:hAnsi="Arial" w:cs="Arial"/>
              </w:rPr>
              <w:t xml:space="preserve"> fortuito ou força maior; </w:t>
            </w:r>
          </w:p>
          <w:p w14:paraId="4E23667E" w14:textId="77777777" w:rsidR="00434559" w:rsidRDefault="008F6152">
            <w:pPr>
              <w:widowControl w:val="0"/>
              <w:spacing w:before="240" w:after="240"/>
              <w:ind w:left="397" w:right="-1"/>
              <w:rPr>
                <w:rFonts w:ascii="Arial" w:hAnsi="Arial" w:cs="Arial"/>
              </w:rPr>
            </w:pPr>
            <w:r>
              <w:rPr>
                <w:rFonts w:ascii="Arial" w:hAnsi="Arial" w:cs="Arial"/>
              </w:rPr>
              <w:t xml:space="preserve">II - </w:t>
            </w:r>
            <w:proofErr w:type="gramStart"/>
            <w:r>
              <w:rPr>
                <w:rFonts w:ascii="Arial" w:hAnsi="Arial" w:cs="Arial"/>
              </w:rPr>
              <w:t>alteração</w:t>
            </w:r>
            <w:proofErr w:type="gramEnd"/>
            <w:r>
              <w:rPr>
                <w:rFonts w:ascii="Arial" w:hAnsi="Arial" w:cs="Arial"/>
              </w:rPr>
              <w:t xml:space="preserve">, sem prévia anuência da entidade garantidora, das obrigações contratuais; </w:t>
            </w:r>
          </w:p>
          <w:p w14:paraId="3F1FBDC6" w14:textId="77777777" w:rsidR="00434559" w:rsidRDefault="008F6152">
            <w:pPr>
              <w:widowControl w:val="0"/>
              <w:spacing w:before="240" w:after="240"/>
              <w:ind w:left="397" w:right="-1"/>
              <w:rPr>
                <w:rFonts w:ascii="Arial" w:hAnsi="Arial" w:cs="Arial"/>
              </w:rPr>
            </w:pPr>
            <w:r>
              <w:rPr>
                <w:rFonts w:ascii="Arial" w:hAnsi="Arial" w:cs="Arial"/>
              </w:rPr>
              <w:t xml:space="preserve">III - descumprimento das obrigações pelo contratado decorrentes de atos ou fatos praticados pela Administração; </w:t>
            </w:r>
          </w:p>
          <w:p w14:paraId="3FC03224" w14:textId="77777777" w:rsidR="00434559" w:rsidRDefault="008F6152">
            <w:pPr>
              <w:widowControl w:val="0"/>
              <w:spacing w:before="240" w:after="240"/>
              <w:ind w:left="397" w:right="-1"/>
              <w:rPr>
                <w:rFonts w:ascii="Arial" w:hAnsi="Arial" w:cs="Arial"/>
              </w:rPr>
            </w:pPr>
            <w:r>
              <w:rPr>
                <w:rFonts w:ascii="Arial" w:hAnsi="Arial" w:cs="Arial"/>
              </w:rPr>
              <w:t xml:space="preserve">IV - </w:t>
            </w:r>
            <w:proofErr w:type="gramStart"/>
            <w:r>
              <w:rPr>
                <w:rFonts w:ascii="Arial" w:hAnsi="Arial" w:cs="Arial"/>
              </w:rPr>
              <w:t>atos</w:t>
            </w:r>
            <w:proofErr w:type="gramEnd"/>
            <w:r>
              <w:rPr>
                <w:rFonts w:ascii="Arial" w:hAnsi="Arial" w:cs="Arial"/>
              </w:rPr>
              <w:t xml:space="preserve"> ilícitos dolosos praticados por servidores da Administração.</w:t>
            </w:r>
          </w:p>
          <w:p w14:paraId="4B50676B" w14:textId="77777777" w:rsidR="00434559" w:rsidRDefault="008F6152">
            <w:pPr>
              <w:widowControl w:val="0"/>
              <w:spacing w:before="240" w:after="240"/>
              <w:ind w:left="397" w:right="-1"/>
              <w:rPr>
                <w:rFonts w:ascii="Arial" w:hAnsi="Arial" w:cs="Arial"/>
              </w:rPr>
            </w:pPr>
            <w:r>
              <w:rPr>
                <w:rFonts w:ascii="Arial" w:hAnsi="Arial" w:cs="Arial"/>
              </w:rPr>
              <w:t>o) Caberá à própria Administração apurar a isenção da responsabilidade prevista nos itens III e IV do item anterior, não sendo a entidade garantidora parte no processo instaurado pela Administração.</w:t>
            </w:r>
          </w:p>
          <w:p w14:paraId="669C53A1" w14:textId="77777777" w:rsidR="00434559" w:rsidRDefault="008F6152">
            <w:pPr>
              <w:widowControl w:val="0"/>
              <w:spacing w:before="240" w:after="240"/>
              <w:ind w:left="397" w:right="-1"/>
              <w:rPr>
                <w:rFonts w:ascii="Arial" w:hAnsi="Arial" w:cs="Arial"/>
              </w:rPr>
            </w:pPr>
            <w:r>
              <w:rPr>
                <w:rFonts w:ascii="Arial" w:hAnsi="Arial" w:cs="Arial"/>
              </w:rPr>
              <w:t xml:space="preserve">p) Para efeitos da execução da garantia, os inadimplementos contratuais deverão ser comunicados pelo contratante ao contratado e/ou à entidade garantidora, no prazo de até 3 (três) meses do conhecimento da ocorrência do sinistro. </w:t>
            </w:r>
          </w:p>
          <w:p w14:paraId="16412693" w14:textId="77777777" w:rsidR="00434559" w:rsidRDefault="008F6152">
            <w:pPr>
              <w:widowControl w:val="0"/>
              <w:spacing w:before="240" w:after="240"/>
              <w:ind w:left="397" w:right="-1"/>
              <w:rPr>
                <w:rFonts w:ascii="Arial" w:hAnsi="Arial" w:cs="Arial"/>
              </w:rPr>
            </w:pPr>
            <w:r>
              <w:rPr>
                <w:rFonts w:ascii="Arial" w:hAnsi="Arial" w:cs="Arial"/>
              </w:rPr>
              <w:t xml:space="preserve">q) Não serão aceitas garantias que incluam outras isenções de responsabilidade que não as previstas neste Edital. </w:t>
            </w:r>
          </w:p>
          <w:p w14:paraId="5C719C22" w14:textId="77777777" w:rsidR="00434559" w:rsidRDefault="008F6152">
            <w:pPr>
              <w:widowControl w:val="0"/>
              <w:spacing w:before="240" w:after="240"/>
              <w:ind w:left="397" w:right="-1"/>
              <w:rPr>
                <w:rFonts w:ascii="Arial" w:hAnsi="Arial" w:cs="Arial"/>
              </w:rPr>
            </w:pPr>
            <w:r>
              <w:rPr>
                <w:rFonts w:ascii="Arial" w:hAnsi="Arial" w:cs="Arial"/>
              </w:rPr>
              <w:t>r) Será considerada extinta a garantia com a devolução dos valores caucionados, autorização para liberação da fiança bancária ou, no caso de seguro-garantia, na ocorrência dos eventos previstos no artigo 26 da Circular SUSEP nº662, de 11 de abril de 2022.</w:t>
            </w:r>
          </w:p>
          <w:p w14:paraId="0D7FB02D" w14:textId="77777777" w:rsidR="00434559" w:rsidRDefault="008F6152">
            <w:pPr>
              <w:widowControl w:val="0"/>
              <w:tabs>
                <w:tab w:val="left" w:pos="8187"/>
              </w:tabs>
              <w:spacing w:before="240" w:after="240"/>
              <w:ind w:left="397"/>
              <w:rPr>
                <w:rFonts w:ascii="Arial" w:hAnsi="Arial" w:cs="Arial"/>
              </w:rPr>
            </w:pPr>
            <w:r>
              <w:rPr>
                <w:rFonts w:ascii="Arial" w:hAnsi="Arial" w:cs="Arial"/>
              </w:rPr>
              <w:t xml:space="preserve">s) As garantias, com exceção do seguro-garantia, somente poderão ser </w:t>
            </w:r>
            <w:r>
              <w:rPr>
                <w:rFonts w:ascii="Arial" w:hAnsi="Arial" w:cs="Arial"/>
              </w:rPr>
              <w:lastRenderedPageBreak/>
              <w:t>resgatadas após o prazo de (3) três meses do término do contrato.</w:t>
            </w:r>
          </w:p>
        </w:tc>
      </w:tr>
      <w:tr w:rsidR="00434559" w14:paraId="264D4BA1" w14:textId="77777777">
        <w:trPr>
          <w:trHeight w:val="1260"/>
        </w:trPr>
        <w:tc>
          <w:tcPr>
            <w:tcW w:w="1556" w:type="dxa"/>
            <w:tcBorders>
              <w:top w:val="single" w:sz="6" w:space="0" w:color="000000"/>
              <w:left w:val="single" w:sz="6" w:space="0" w:color="000000"/>
              <w:bottom w:val="single" w:sz="6" w:space="0" w:color="000000"/>
              <w:right w:val="single" w:sz="6" w:space="0" w:color="000000"/>
            </w:tcBorders>
          </w:tcPr>
          <w:p w14:paraId="0464341C" w14:textId="77777777" w:rsidR="00434559" w:rsidRDefault="008F6152">
            <w:pPr>
              <w:widowControl w:val="0"/>
              <w:spacing w:line="252" w:lineRule="auto"/>
              <w:rPr>
                <w:rFonts w:ascii="Arial" w:hAnsi="Arial" w:cs="Arial"/>
              </w:rPr>
            </w:pPr>
            <w:r>
              <w:rPr>
                <w:rFonts w:ascii="Arial" w:hAnsi="Arial" w:cs="Arial"/>
              </w:rPr>
              <w:lastRenderedPageBreak/>
              <w:t>CGL 22.2.2</w:t>
            </w:r>
          </w:p>
        </w:tc>
        <w:tc>
          <w:tcPr>
            <w:tcW w:w="8958" w:type="dxa"/>
            <w:tcBorders>
              <w:top w:val="single" w:sz="6" w:space="0" w:color="000000"/>
              <w:left w:val="single" w:sz="6" w:space="0" w:color="000000"/>
              <w:bottom w:val="single" w:sz="6" w:space="0" w:color="000000"/>
              <w:right w:val="single" w:sz="6" w:space="0" w:color="000000"/>
            </w:tcBorders>
          </w:tcPr>
          <w:p w14:paraId="132FCB4D" w14:textId="77777777" w:rsidR="00434559" w:rsidRDefault="008F6152">
            <w:pPr>
              <w:widowControl w:val="0"/>
              <w:rPr>
                <w:rFonts w:ascii="Arial" w:hAnsi="Arial" w:cs="Arial"/>
                <w:b/>
              </w:rPr>
            </w:pPr>
            <w:hyperlink r:id="rId18">
              <w:r>
                <w:rPr>
                  <w:rStyle w:val="LinkdaInternet"/>
                  <w:rFonts w:ascii="Arial" w:hAnsi="Arial" w:cs="Arial"/>
                </w:rPr>
                <w:t>INSTRUÇÃO NORMATIVA CELIC/SPGG Nº 02/2023</w:t>
              </w:r>
            </w:hyperlink>
            <w:r>
              <w:rPr>
                <w:rStyle w:val="ui-provider"/>
                <w:rFonts w:ascii="Arial" w:hAnsi="Arial" w:cs="Arial"/>
              </w:rPr>
              <w:t>, publicada no DOE do Rio Grande do Sul em 29 de setembro de 2023 (</w:t>
            </w:r>
            <w:hyperlink r:id="rId19">
              <w:r>
                <w:rPr>
                  <w:rStyle w:val="LinkdaInternet"/>
                  <w:rFonts w:ascii="Arial" w:hAnsi="Arial" w:cs="Arial"/>
                </w:rPr>
                <w:t>https://www.diariooficial.rs.gov.br/materia?id=908247</w:t>
              </w:r>
            </w:hyperlink>
            <w:r>
              <w:rPr>
                <w:rStyle w:val="ui-provider"/>
                <w:rFonts w:ascii="Arial" w:hAnsi="Arial" w:cs="Arial"/>
              </w:rPr>
              <w:t>)</w:t>
            </w:r>
          </w:p>
          <w:p w14:paraId="2B96F422" w14:textId="77777777" w:rsidR="00434559" w:rsidRDefault="00434559">
            <w:pPr>
              <w:widowControl w:val="0"/>
              <w:rPr>
                <w:rFonts w:ascii="Arial" w:hAnsi="Arial" w:cs="Arial"/>
                <w:b/>
              </w:rPr>
            </w:pPr>
          </w:p>
          <w:p w14:paraId="592087CE" w14:textId="77777777" w:rsidR="00434559" w:rsidRDefault="008F6152">
            <w:pPr>
              <w:widowControl w:val="0"/>
              <w:rPr>
                <w:rFonts w:ascii="Arial" w:hAnsi="Arial" w:cs="Arial"/>
              </w:rPr>
            </w:pPr>
            <w:r>
              <w:rPr>
                <w:rFonts w:ascii="Arial" w:hAnsi="Arial" w:cs="Arial"/>
              </w:rPr>
              <w:t>[ou]</w:t>
            </w:r>
          </w:p>
          <w:p w14:paraId="5006C04D" w14:textId="77777777" w:rsidR="00434559" w:rsidRDefault="00434559">
            <w:pPr>
              <w:widowControl w:val="0"/>
              <w:spacing w:after="240"/>
              <w:rPr>
                <w:rFonts w:ascii="Arial" w:hAnsi="Arial" w:cs="Arial"/>
              </w:rPr>
            </w:pPr>
          </w:p>
          <w:p w14:paraId="2E0C3B57" w14:textId="77777777" w:rsidR="00434559" w:rsidRDefault="008F6152">
            <w:pPr>
              <w:widowControl w:val="0"/>
              <w:spacing w:after="240"/>
              <w:rPr>
                <w:rFonts w:ascii="Arial" w:hAnsi="Arial" w:cs="Arial"/>
                <w:b/>
              </w:rPr>
            </w:pPr>
            <w:r>
              <w:rPr>
                <w:rFonts w:ascii="Arial" w:hAnsi="Arial" w:cs="Arial"/>
              </w:rPr>
              <w:t>Norma específica do órgão demandante</w:t>
            </w:r>
          </w:p>
        </w:tc>
      </w:tr>
    </w:tbl>
    <w:p w14:paraId="7E5B1CDA" w14:textId="77777777" w:rsidR="00434559" w:rsidRDefault="00434559">
      <w:pPr>
        <w:rPr>
          <w:rFonts w:cs="Arial"/>
          <w:b/>
          <w:sz w:val="22"/>
          <w:szCs w:val="22"/>
        </w:rPr>
      </w:pPr>
    </w:p>
    <w:p w14:paraId="086ECE56" w14:textId="77777777" w:rsidR="00434559" w:rsidRDefault="00434559">
      <w:pPr>
        <w:ind w:right="-1"/>
        <w:jc w:val="both"/>
      </w:pPr>
    </w:p>
    <w:sectPr w:rsidR="00434559">
      <w:headerReference w:type="default" r:id="rId20"/>
      <w:footerReference w:type="default" r:id="rId21"/>
      <w:pgSz w:w="11906" w:h="16838"/>
      <w:pgMar w:top="1440" w:right="1080" w:bottom="2091" w:left="1080" w:header="708" w:footer="14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CEF1" w14:textId="77777777" w:rsidR="00BF27E7" w:rsidRDefault="00BF27E7">
      <w:r>
        <w:separator/>
      </w:r>
    </w:p>
  </w:endnote>
  <w:endnote w:type="continuationSeparator" w:id="0">
    <w:p w14:paraId="4D9C08FF" w14:textId="77777777" w:rsidR="00BF27E7" w:rsidRDefault="00BF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0C5E" w14:textId="77777777" w:rsidR="00434559" w:rsidRDefault="008F6152">
    <w:pPr>
      <w:tabs>
        <w:tab w:val="center" w:pos="4252"/>
        <w:tab w:val="right" w:pos="8504"/>
      </w:tabs>
      <w:jc w:val="center"/>
    </w:pPr>
    <w:r>
      <w:rPr>
        <w:color w:val="595959"/>
        <w:sz w:val="16"/>
        <w:szCs w:val="16"/>
      </w:rPr>
      <w:t>Subsecretaria da Administração Central de Licitações – CELIC RS</w:t>
    </w:r>
  </w:p>
  <w:p w14:paraId="3DAB3057" w14:textId="77777777" w:rsidR="00434559" w:rsidRDefault="008F6152">
    <w:pPr>
      <w:tabs>
        <w:tab w:val="center" w:pos="4252"/>
        <w:tab w:val="right" w:pos="8504"/>
      </w:tabs>
      <w:jc w:val="center"/>
    </w:pPr>
    <w:r>
      <w:rPr>
        <w:color w:val="595959"/>
        <w:sz w:val="16"/>
        <w:szCs w:val="16"/>
      </w:rPr>
      <w:t>Av. Borges De Medeiros, 1501 – 2º Andar – CEP: 90110-150 Fone: (51) 3288-1160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F8D3" w14:textId="77777777" w:rsidR="00BF27E7" w:rsidRDefault="00BF27E7">
      <w:r>
        <w:separator/>
      </w:r>
    </w:p>
  </w:footnote>
  <w:footnote w:type="continuationSeparator" w:id="0">
    <w:p w14:paraId="129DCA52" w14:textId="77777777" w:rsidR="00BF27E7" w:rsidRDefault="00BF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FCE2" w14:textId="77777777" w:rsidR="00434559" w:rsidRDefault="008F6152">
    <w:pPr>
      <w:spacing w:line="360" w:lineRule="auto"/>
      <w:ind w:right="-1"/>
      <w:jc w:val="center"/>
    </w:pPr>
    <w:r>
      <w:rPr>
        <w:b/>
        <w:sz w:val="30"/>
        <w:szCs w:val="30"/>
      </w:rPr>
      <w:t>FOLHA DE DADOS</w:t>
    </w:r>
    <w:r>
      <w:rPr>
        <w:noProof/>
      </w:rPr>
      <w:drawing>
        <wp:anchor distT="0" distB="0" distL="0" distR="0" simplePos="0" relativeHeight="13" behindDoc="1" locked="0" layoutInCell="0" allowOverlap="1" wp14:anchorId="1A6AC4B9" wp14:editId="0D09B418">
          <wp:simplePos x="0" y="0"/>
          <wp:positionH relativeFrom="column">
            <wp:posOffset>5304155</wp:posOffset>
          </wp:positionH>
          <wp:positionV relativeFrom="paragraph">
            <wp:posOffset>-175895</wp:posOffset>
          </wp:positionV>
          <wp:extent cx="1002030" cy="52133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12" t="-22" r="-12" b="-22"/>
                  <a:stretch>
                    <a:fillRect/>
                  </a:stretch>
                </pic:blipFill>
                <pic:spPr bwMode="auto">
                  <a:xfrm>
                    <a:off x="0" y="0"/>
                    <a:ext cx="1002030" cy="521335"/>
                  </a:xfrm>
                  <a:prstGeom prst="rect">
                    <a:avLst/>
                  </a:prstGeom>
                </pic:spPr>
              </pic:pic>
            </a:graphicData>
          </a:graphic>
        </wp:anchor>
      </w:drawing>
    </w:r>
    <w:r>
      <w:rPr>
        <w:b/>
        <w:sz w:val="30"/>
        <w:szCs w:val="30"/>
      </w:rPr>
      <w:t xml:space="preserve"> PARA AQUISIÇÃO DE BENS</w:t>
    </w:r>
  </w:p>
  <w:p w14:paraId="569F29B7" w14:textId="77777777" w:rsidR="00434559" w:rsidRDefault="008F6152">
    <w:pPr>
      <w:pStyle w:val="Cabealho"/>
      <w:jc w:val="center"/>
      <w:rPr>
        <w:b/>
        <w:sz w:val="30"/>
        <w:szCs w:val="30"/>
      </w:rPr>
    </w:pPr>
    <w:r>
      <w:rPr>
        <w:b/>
        <w:sz w:val="30"/>
        <w:szCs w:val="30"/>
      </w:rPr>
      <w:t>COMPRA IMEDIATA (NORMAL)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5AA0"/>
    <w:multiLevelType w:val="multilevel"/>
    <w:tmpl w:val="C9DEC500"/>
    <w:lvl w:ilvl="0">
      <w:start w:val="1"/>
      <w:numFmt w:val="lowerRoman"/>
      <w:lvlText w:val="%1)"/>
      <w:lvlJc w:val="left"/>
      <w:pPr>
        <w:tabs>
          <w:tab w:val="num" w:pos="0"/>
        </w:tabs>
        <w:ind w:left="989" w:hanging="720"/>
      </w:pPr>
      <w:rPr>
        <w:b/>
      </w:rPr>
    </w:lvl>
    <w:lvl w:ilvl="1">
      <w:start w:val="1"/>
      <w:numFmt w:val="lowerLetter"/>
      <w:lvlText w:val="%2."/>
      <w:lvlJc w:val="left"/>
      <w:pPr>
        <w:tabs>
          <w:tab w:val="num" w:pos="0"/>
        </w:tabs>
        <w:ind w:left="1349" w:hanging="360"/>
      </w:pPr>
    </w:lvl>
    <w:lvl w:ilvl="2">
      <w:start w:val="1"/>
      <w:numFmt w:val="lowerRoman"/>
      <w:lvlText w:val="%3."/>
      <w:lvlJc w:val="right"/>
      <w:pPr>
        <w:tabs>
          <w:tab w:val="num" w:pos="0"/>
        </w:tabs>
        <w:ind w:left="2069" w:hanging="180"/>
      </w:pPr>
    </w:lvl>
    <w:lvl w:ilvl="3">
      <w:start w:val="1"/>
      <w:numFmt w:val="decimal"/>
      <w:lvlText w:val="%4."/>
      <w:lvlJc w:val="left"/>
      <w:pPr>
        <w:tabs>
          <w:tab w:val="num" w:pos="0"/>
        </w:tabs>
        <w:ind w:left="2789" w:hanging="360"/>
      </w:pPr>
    </w:lvl>
    <w:lvl w:ilvl="4">
      <w:start w:val="1"/>
      <w:numFmt w:val="lowerLetter"/>
      <w:lvlText w:val="%5."/>
      <w:lvlJc w:val="left"/>
      <w:pPr>
        <w:tabs>
          <w:tab w:val="num" w:pos="0"/>
        </w:tabs>
        <w:ind w:left="3509" w:hanging="360"/>
      </w:pPr>
    </w:lvl>
    <w:lvl w:ilvl="5">
      <w:start w:val="1"/>
      <w:numFmt w:val="lowerRoman"/>
      <w:lvlText w:val="%6."/>
      <w:lvlJc w:val="right"/>
      <w:pPr>
        <w:tabs>
          <w:tab w:val="num" w:pos="0"/>
        </w:tabs>
        <w:ind w:left="4229" w:hanging="180"/>
      </w:pPr>
    </w:lvl>
    <w:lvl w:ilvl="6">
      <w:start w:val="1"/>
      <w:numFmt w:val="decimal"/>
      <w:lvlText w:val="%7."/>
      <w:lvlJc w:val="left"/>
      <w:pPr>
        <w:tabs>
          <w:tab w:val="num" w:pos="0"/>
        </w:tabs>
        <w:ind w:left="4949" w:hanging="360"/>
      </w:pPr>
    </w:lvl>
    <w:lvl w:ilvl="7">
      <w:start w:val="1"/>
      <w:numFmt w:val="lowerLetter"/>
      <w:lvlText w:val="%8."/>
      <w:lvlJc w:val="left"/>
      <w:pPr>
        <w:tabs>
          <w:tab w:val="num" w:pos="0"/>
        </w:tabs>
        <w:ind w:left="5669" w:hanging="360"/>
      </w:pPr>
    </w:lvl>
    <w:lvl w:ilvl="8">
      <w:start w:val="1"/>
      <w:numFmt w:val="lowerRoman"/>
      <w:lvlText w:val="%9."/>
      <w:lvlJc w:val="right"/>
      <w:pPr>
        <w:tabs>
          <w:tab w:val="num" w:pos="0"/>
        </w:tabs>
        <w:ind w:left="6389" w:hanging="180"/>
      </w:pPr>
    </w:lvl>
  </w:abstractNum>
  <w:abstractNum w:abstractNumId="1" w15:restartNumberingAfterBreak="0">
    <w:nsid w:val="281314C1"/>
    <w:multiLevelType w:val="multilevel"/>
    <w:tmpl w:val="BCF804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44715421">
    <w:abstractNumId w:val="0"/>
  </w:num>
  <w:num w:numId="2" w16cid:durableId="198477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59"/>
    <w:rsid w:val="00434559"/>
    <w:rsid w:val="007A0C37"/>
    <w:rsid w:val="008F6152"/>
    <w:rsid w:val="00BF27E7"/>
    <w:rsid w:val="00C74E58"/>
    <w:rsid w:val="00E04C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0AF6"/>
  <w15:docId w15:val="{693F244C-C6D1-4CD4-9300-1B90DB97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style>
  <w:style w:type="character" w:customStyle="1" w:styleId="TextodecomentrioChar">
    <w:name w:val="Texto de comentário Char"/>
    <w:link w:val="Textodecomentrio"/>
    <w:uiPriority w:val="99"/>
    <w:qFormat/>
    <w:rPr>
      <w:rFonts w:ascii="Times New Roman" w:eastAsia="Times New Roman" w:hAnsi="Times New Roman" w:cs="Times New Roman"/>
      <w:sz w:val="20"/>
      <w:szCs w:val="20"/>
      <w:lang w:val="x-none" w:eastAsia="zh-CN"/>
    </w:rPr>
  </w:style>
  <w:style w:type="character" w:customStyle="1" w:styleId="CabealhoChar">
    <w:name w:val="Cabeçalho Char"/>
    <w:uiPriority w:val="99"/>
    <w:qFormat/>
    <w:rPr>
      <w:rFonts w:ascii="Times New Roman" w:eastAsia="Times New Roman" w:hAnsi="Times New Roman" w:cs="Times New Roman"/>
      <w:sz w:val="24"/>
      <w:szCs w:val="24"/>
      <w:lang w:eastAsia="zh-CN"/>
    </w:rPr>
  </w:style>
  <w:style w:type="character" w:customStyle="1" w:styleId="RodapChar">
    <w:name w:val="Rodapé Char"/>
    <w:qFormat/>
    <w:rPr>
      <w:rFonts w:ascii="Times New Roman" w:eastAsia="Times New Roman" w:hAnsi="Times New Roman" w:cs="Times New Roman"/>
      <w:sz w:val="24"/>
      <w:szCs w:val="24"/>
      <w:lang w:eastAsia="zh-CN"/>
    </w:rPr>
  </w:style>
  <w:style w:type="character" w:customStyle="1" w:styleId="LinkdaInternet">
    <w:name w:val="Link da Internet"/>
    <w:basedOn w:val="Fontepargpadro"/>
    <w:uiPriority w:val="99"/>
    <w:unhideWhenUsed/>
    <w:rsid w:val="004E1290"/>
    <w:rPr>
      <w:color w:val="0000FF"/>
      <w:u w:val="single"/>
    </w:rPr>
  </w:style>
  <w:style w:type="character" w:customStyle="1" w:styleId="Hyperlink1">
    <w:name w:val="Hyperlink1"/>
    <w:qFormat/>
    <w:rPr>
      <w:color w:val="0000FF"/>
      <w:u w:val="single"/>
    </w:rPr>
  </w:style>
  <w:style w:type="character" w:customStyle="1" w:styleId="normaltextrun">
    <w:name w:val="normaltextrun"/>
    <w:basedOn w:val="Fontepargpadro1"/>
    <w:qFormat/>
  </w:style>
  <w:style w:type="character" w:customStyle="1" w:styleId="eop">
    <w:name w:val="eop"/>
    <w:basedOn w:val="Fontepargpadro1"/>
    <w:qFormat/>
  </w:style>
  <w:style w:type="character" w:customStyle="1" w:styleId="Linkdainternetvisitado">
    <w:name w:val="Link da internet visitado"/>
    <w:rPr>
      <w:color w:val="954F72"/>
      <w:u w:val="single"/>
    </w:rPr>
  </w:style>
  <w:style w:type="character" w:customStyle="1" w:styleId="findhit">
    <w:name w:val="findhit"/>
    <w:basedOn w:val="Fontepargpadro"/>
    <w:qFormat/>
    <w:rsid w:val="004E1290"/>
  </w:style>
  <w:style w:type="character" w:customStyle="1" w:styleId="nfaseforte">
    <w:name w:val="Ênfase forte"/>
    <w:qFormat/>
    <w:rsid w:val="004E1290"/>
    <w:rPr>
      <w:b/>
      <w:bCs/>
    </w:rPr>
  </w:style>
  <w:style w:type="character" w:customStyle="1" w:styleId="ui-provider">
    <w:name w:val="ui-provider"/>
    <w:basedOn w:val="Fontepargpadro"/>
    <w:qFormat/>
    <w:rsid w:val="004E1290"/>
  </w:style>
  <w:style w:type="character" w:styleId="Refdecomentrio">
    <w:name w:val="annotation reference"/>
    <w:uiPriority w:val="99"/>
    <w:unhideWhenUsed/>
    <w:qFormat/>
    <w:rsid w:val="004E1290"/>
    <w:rPr>
      <w:sz w:val="16"/>
      <w:szCs w:val="16"/>
    </w:rPr>
  </w:style>
  <w:style w:type="character" w:customStyle="1" w:styleId="cf01">
    <w:name w:val="cf01"/>
    <w:basedOn w:val="Fontepargpadro"/>
    <w:qFormat/>
    <w:rsid w:val="004E1290"/>
    <w:rPr>
      <w:rFonts w:ascii="Segoe UI" w:hAnsi="Segoe UI" w:cs="Segoe UI"/>
      <w:sz w:val="18"/>
      <w:szCs w:val="18"/>
    </w:rPr>
  </w:style>
  <w:style w:type="character" w:customStyle="1" w:styleId="TtuloChar">
    <w:name w:val="Título Char"/>
    <w:basedOn w:val="Fontepargpadro"/>
    <w:link w:val="Ttulo"/>
    <w:qFormat/>
    <w:rsid w:val="004E1290"/>
    <w:rPr>
      <w:rFonts w:ascii="Liberation Sans" w:eastAsia="Microsoft YaHei" w:hAnsi="Liberation Sans" w:cs="Arial"/>
      <w:color w:val="000000"/>
      <w:sz w:val="28"/>
      <w:szCs w:val="28"/>
    </w:rPr>
  </w:style>
  <w:style w:type="character" w:customStyle="1" w:styleId="TextodecomentrioChar1">
    <w:name w:val="Texto de comentário Char1"/>
    <w:basedOn w:val="Fontepargpadro"/>
    <w:uiPriority w:val="99"/>
    <w:semiHidden/>
    <w:qFormat/>
    <w:rsid w:val="004E1290"/>
    <w:rPr>
      <w:lang w:eastAsia="zh-CN"/>
    </w:rPr>
  </w:style>
  <w:style w:type="paragraph" w:styleId="Ttulo">
    <w:name w:val="Title"/>
    <w:basedOn w:val="Normal"/>
    <w:next w:val="Corpodetexto"/>
    <w:link w:val="TtuloChar"/>
    <w:qFormat/>
    <w:rsid w:val="004E1290"/>
    <w:pPr>
      <w:keepNext/>
      <w:spacing w:before="240" w:after="120" w:line="360" w:lineRule="auto"/>
      <w:jc w:val="both"/>
    </w:pPr>
    <w:rPr>
      <w:rFonts w:ascii="Liberation Sans" w:eastAsia="Microsoft YaHei" w:hAnsi="Liberation Sans" w:cs="Arial"/>
      <w:color w:val="000000"/>
      <w:sz w:val="28"/>
      <w:szCs w:val="28"/>
      <w:lang w:eastAsia="pt-BR"/>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PargrafodaLista">
    <w:name w:val="List Paragraph"/>
    <w:basedOn w:val="Normal"/>
    <w:uiPriority w:val="34"/>
    <w:qFormat/>
    <w:pPr>
      <w:ind w:left="708"/>
    </w:pPr>
  </w:style>
  <w:style w:type="paragraph" w:styleId="NormalWeb">
    <w:name w:val="Normal (Web)"/>
    <w:basedOn w:val="Normal"/>
    <w:uiPriority w:val="99"/>
    <w:qFormat/>
    <w:pPr>
      <w:spacing w:before="280" w:after="280"/>
    </w:pPr>
  </w:style>
  <w:style w:type="paragraph" w:customStyle="1" w:styleId="Textodecomentrio1">
    <w:name w:val="Texto de comentário1"/>
    <w:basedOn w:val="Normal"/>
    <w:qFormat/>
    <w:rPr>
      <w:sz w:val="20"/>
      <w:szCs w:val="20"/>
      <w:lang w:val="x-none"/>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uiPriority w:val="99"/>
  </w:style>
  <w:style w:type="paragraph" w:styleId="Rodap">
    <w:name w:val="footer"/>
    <w:basedOn w:val="Normal"/>
  </w:style>
  <w:style w:type="paragraph" w:customStyle="1" w:styleId="MapadoDocumento1">
    <w:name w:val="Mapa do Documento1"/>
    <w:qFormat/>
    <w:pPr>
      <w:spacing w:after="160" w:line="252" w:lineRule="auto"/>
    </w:pPr>
    <w:rPr>
      <w:rFonts w:ascii="Calibri" w:eastAsia="Cambria Math" w:hAnsi="Calibri"/>
      <w:sz w:val="22"/>
      <w:szCs w:val="22"/>
      <w:lang w:eastAsia="zh-CN"/>
    </w:rPr>
  </w:style>
  <w:style w:type="paragraph" w:customStyle="1" w:styleId="A010177">
    <w:name w:val="_A010177"/>
    <w:basedOn w:val="Normal"/>
    <w:uiPriority w:val="99"/>
    <w:qFormat/>
    <w:pPr>
      <w:jc w:val="both"/>
    </w:pPr>
    <w:rPr>
      <w:szCs w:val="20"/>
    </w:rPr>
  </w:style>
  <w:style w:type="paragraph" w:customStyle="1" w:styleId="paragraph">
    <w:name w:val="paragraph"/>
    <w:basedOn w:val="Normal"/>
    <w:qFormat/>
    <w:pPr>
      <w:suppressAutoHyphens w:val="0"/>
      <w:spacing w:before="280" w:after="280"/>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texto">
    <w:name w:val="texto"/>
    <w:basedOn w:val="Normal"/>
    <w:uiPriority w:val="99"/>
    <w:qFormat/>
    <w:rsid w:val="004E1290"/>
    <w:pPr>
      <w:jc w:val="both"/>
    </w:pPr>
    <w:rPr>
      <w:color w:val="000000"/>
      <w:lang w:eastAsia="pt-BR"/>
    </w:rPr>
  </w:style>
  <w:style w:type="paragraph" w:customStyle="1" w:styleId="indice">
    <w:name w:val="indice"/>
    <w:basedOn w:val="Normal"/>
    <w:qFormat/>
    <w:rsid w:val="004E1290"/>
    <w:pPr>
      <w:widowControl w:val="0"/>
      <w:spacing w:before="80" w:line="276" w:lineRule="auto"/>
      <w:jc w:val="both"/>
    </w:pPr>
    <w:rPr>
      <w:rFonts w:eastAsia="Calibri"/>
      <w:b/>
      <w:bCs/>
      <w:color w:val="000000"/>
      <w:sz w:val="22"/>
      <w:szCs w:val="22"/>
      <w:lang w:eastAsia="pt-BR"/>
    </w:rPr>
  </w:style>
  <w:style w:type="paragraph" w:styleId="Textodecomentrio">
    <w:name w:val="annotation text"/>
    <w:basedOn w:val="Normal"/>
    <w:link w:val="TextodecomentrioChar"/>
    <w:uiPriority w:val="99"/>
    <w:unhideWhenUsed/>
    <w:qFormat/>
    <w:rsid w:val="004E1290"/>
    <w:rPr>
      <w:sz w:val="20"/>
      <w:szCs w:val="20"/>
      <w:lang w:val="x-none"/>
    </w:rPr>
  </w:style>
  <w:style w:type="character" w:styleId="Hyperlink">
    <w:name w:val="Hyperlink"/>
    <w:basedOn w:val="Fontepargpadro"/>
    <w:uiPriority w:val="99"/>
    <w:unhideWhenUsed/>
    <w:rsid w:val="00C74E58"/>
    <w:rPr>
      <w:color w:val="0563C1" w:themeColor="hyperlink"/>
      <w:u w:val="single"/>
    </w:rPr>
  </w:style>
  <w:style w:type="character" w:styleId="MenoPendente">
    <w:name w:val="Unresolved Mention"/>
    <w:basedOn w:val="Fontepargpadro"/>
    <w:uiPriority w:val="99"/>
    <w:semiHidden/>
    <w:unhideWhenUsed/>
    <w:rsid w:val="00C74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elic.rs.gov.br/orientacoes-gerais-aos-licitantes" TargetMode="External"/><Relationship Id="rId18" Type="http://schemas.openxmlformats.org/officeDocument/2006/relationships/hyperlink" Target="https://www.diariooficial.rs.gov.br/materia?id=90824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ompras.rs.gov.br/" TargetMode="External"/><Relationship Id="rId17" Type="http://schemas.openxmlformats.org/officeDocument/2006/relationships/hyperlink" Target="http://www.sisacf.sefaz.rs.gov.br/"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rs.gov.br/" TargetMode="Externa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http://www.cecom.rs.gov.br/" TargetMode="External"/><Relationship Id="rId19" Type="http://schemas.openxmlformats.org/officeDocument/2006/relationships/hyperlink" Target="https://www.diariooficial.rs.gov.br/materia?id=9082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20d49e-90fa-4e9b-8a64-ca584156aaaf"/>
    <_Flow_SignoffStatus xmlns="c72c3af4-4775-450d-8502-934a6ead802a" xsi:nil="true"/>
    <lcf76f155ced4ddcb4097134ff3c332f xmlns="c72c3af4-4775-450d-8502-934a6ead80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1D8D8B1911EC40A390D6FDD8F99D1E" ma:contentTypeVersion="16" ma:contentTypeDescription="Crie um novo documento." ma:contentTypeScope="" ma:versionID="9f91c1644832169afb618c071613bade">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28436b204aac328a08ea72f1c27d8187"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DAC89-C3C5-42FD-8CE0-25435EEBA4E5}">
  <ds:schemaRefs>
    <ds:schemaRef ds:uri="http://schemas.microsoft.com/office/2006/metadata/properties"/>
    <ds:schemaRef ds:uri="http://schemas.microsoft.com/office/infopath/2007/PartnerControls"/>
    <ds:schemaRef ds:uri="8620d49e-90fa-4e9b-8a64-ca584156aaaf"/>
    <ds:schemaRef ds:uri="c72c3af4-4775-450d-8502-934a6ead802a"/>
  </ds:schemaRefs>
</ds:datastoreItem>
</file>

<file path=customXml/itemProps2.xml><?xml version="1.0" encoding="utf-8"?>
<ds:datastoreItem xmlns:ds="http://schemas.openxmlformats.org/officeDocument/2006/customXml" ds:itemID="{DA8F1390-467E-43F9-B817-FB5421B0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4BB40-AA11-4F65-9C54-793CC7917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3881</Words>
  <Characters>20959</Characters>
  <Application>Microsoft Office Word</Application>
  <DocSecurity>0</DocSecurity>
  <Lines>174</Lines>
  <Paragraphs>49</Paragraphs>
  <ScaleCrop>false</ScaleCrop>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DIEGO TREVISOL DA ROSA</dc:creator>
  <dc:description/>
  <cp:lastModifiedBy>Wender Guilherme Serrao Nascimento</cp:lastModifiedBy>
  <cp:revision>3</cp:revision>
  <cp:lastPrinted>2023-10-31T18:47:00Z</cp:lastPrinted>
  <dcterms:created xsi:type="dcterms:W3CDTF">2025-05-13T13:09:00Z</dcterms:created>
  <dcterms:modified xsi:type="dcterms:W3CDTF">2025-12-18T16:40:00Z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